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51" w:rsidRPr="00BB3E8D" w:rsidRDefault="00D27351" w:rsidP="00D27351">
      <w:pPr>
        <w:spacing w:after="0" w:line="240" w:lineRule="auto"/>
        <w:jc w:val="both"/>
        <w:rPr>
          <w:rFonts w:ascii="Times New Roman" w:eastAsia="Times New Roman" w:hAnsi="Times New Roman" w:cs="Times New Roman"/>
          <w:sz w:val="16"/>
          <w:szCs w:val="16"/>
          <w:lang w:eastAsia="ru-RU"/>
        </w:rPr>
      </w:pPr>
      <w:bookmarkStart w:id="0" w:name="_GoBack"/>
      <w:bookmarkEnd w:id="0"/>
      <w:r w:rsidRPr="00BB3E8D">
        <w:rPr>
          <w:rFonts w:ascii="Times New Roman" w:eastAsia="Times New Roman" w:hAnsi="Times New Roman" w:cs="Times New Roman"/>
          <w:sz w:val="16"/>
          <w:szCs w:val="16"/>
          <w:lang w:eastAsia="ru-RU"/>
        </w:rPr>
        <w:t>29 декабря 2006 года N 244-ФЗ</w:t>
      </w:r>
    </w:p>
    <w:p w:rsidR="00D27351" w:rsidRPr="00BB3E8D" w:rsidRDefault="00145B13" w:rsidP="00D27351">
      <w:pPr>
        <w:spacing w:after="0" w:line="240" w:lineRule="auto"/>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pict>
          <v:rect id="_x0000_i1025" style="width:0;height:1.5pt" o:hralign="center" o:hrstd="t" o:hrnoshade="t" o:hr="t" fillcolor="black" stroked="f"/>
        </w:pict>
      </w:r>
    </w:p>
    <w:p w:rsidR="00D27351" w:rsidRPr="00BB3E8D" w:rsidRDefault="00D27351" w:rsidP="00D27351">
      <w:pPr>
        <w:spacing w:after="0" w:line="240" w:lineRule="auto"/>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РОССИЙСКАЯ ФЕДЕРАЦИЯ</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 </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ФЕДЕРАЛЬНЫЙ ЗАКОН</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 </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О ГОСУДАРСТВЕННОМ РЕГУЛИРОВАНИИ</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ДЕЯТЕЛЬНОСТИ ПО ОРГАНИЗАЦИИ И ПРОВЕДЕНИЮ АЗАРТНЫХ ИГР</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И О ВНЕСЕНИИ ИЗМЕНЕНИЙ В НЕКОТОРЫЕ ЗАКОНОДАТЕЛЬНЫЕ АКТЫ</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Принят</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Государственной Думой</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20 декабря 2006 года</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Одобрен</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Советом Федерации</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27 декабря 2006 года</w:t>
      </w:r>
    </w:p>
    <w:tbl>
      <w:tblPr>
        <w:tblW w:w="5000" w:type="pct"/>
        <w:jc w:val="center"/>
        <w:tblCellSpacing w:w="15" w:type="dxa"/>
        <w:tblCellMar>
          <w:top w:w="60" w:type="dxa"/>
          <w:left w:w="15" w:type="dxa"/>
          <w:bottom w:w="60" w:type="dxa"/>
          <w:right w:w="15" w:type="dxa"/>
        </w:tblCellMar>
        <w:tblLook w:val="04A0" w:firstRow="1" w:lastRow="0" w:firstColumn="1" w:lastColumn="0" w:noHBand="0" w:noVBand="1"/>
      </w:tblPr>
      <w:tblGrid>
        <w:gridCol w:w="195"/>
        <w:gridCol w:w="9675"/>
      </w:tblGrid>
      <w:tr w:rsidR="00D27351" w:rsidRPr="00BB3E8D" w:rsidTr="00D27351">
        <w:trPr>
          <w:tblCellSpacing w:w="15" w:type="dxa"/>
          <w:jc w:val="center"/>
        </w:trPr>
        <w:tc>
          <w:tcPr>
            <w:tcW w:w="0" w:type="auto"/>
            <w:vAlign w:val="center"/>
            <w:hideMark/>
          </w:tcPr>
          <w:p w:rsidR="00D27351" w:rsidRPr="00BB3E8D" w:rsidRDefault="00D27351" w:rsidP="00D27351">
            <w:pPr>
              <w:spacing w:after="0" w:line="240" w:lineRule="auto"/>
              <w:jc w:val="center"/>
              <w:rPr>
                <w:rFonts w:ascii="Times New Roman" w:eastAsia="Times New Roman" w:hAnsi="Times New Roman" w:cs="Times New Roman"/>
                <w:color w:val="392C69"/>
                <w:sz w:val="16"/>
                <w:szCs w:val="16"/>
                <w:lang w:eastAsia="ru-RU"/>
              </w:rPr>
            </w:pPr>
          </w:p>
        </w:tc>
        <w:tc>
          <w:tcPr>
            <w:tcW w:w="0" w:type="auto"/>
            <w:vAlign w:val="center"/>
            <w:hideMark/>
          </w:tcPr>
          <w:p w:rsidR="00D27351" w:rsidRPr="00BB3E8D" w:rsidRDefault="00D27351" w:rsidP="00D27351">
            <w:pPr>
              <w:spacing w:after="0" w:line="240" w:lineRule="auto"/>
              <w:jc w:val="center"/>
              <w:rPr>
                <w:rFonts w:ascii="Times New Roman" w:eastAsia="Times New Roman" w:hAnsi="Times New Roman" w:cs="Times New Roman"/>
                <w:color w:val="392C69"/>
                <w:sz w:val="16"/>
                <w:szCs w:val="16"/>
                <w:lang w:eastAsia="ru-RU"/>
              </w:rPr>
            </w:pPr>
            <w:r w:rsidRPr="00BB3E8D">
              <w:rPr>
                <w:rFonts w:ascii="Times New Roman" w:eastAsia="Times New Roman" w:hAnsi="Times New Roman" w:cs="Times New Roman"/>
                <w:color w:val="392C69"/>
                <w:sz w:val="16"/>
                <w:szCs w:val="16"/>
                <w:lang w:eastAsia="ru-RU"/>
              </w:rPr>
              <w:t>Список изменяющих документов</w:t>
            </w:r>
          </w:p>
        </w:tc>
      </w:tr>
    </w:tbl>
    <w:p w:rsidR="00D27351" w:rsidRPr="00BB3E8D" w:rsidRDefault="00D27351" w:rsidP="00D27351">
      <w:pPr>
        <w:spacing w:after="0" w:line="240" w:lineRule="auto"/>
        <w:jc w:val="center"/>
        <w:rPr>
          <w:rFonts w:ascii="Times New Roman" w:eastAsia="Times New Roman" w:hAnsi="Times New Roman" w:cs="Times New Roman"/>
          <w:color w:val="392C69"/>
          <w:sz w:val="16"/>
          <w:szCs w:val="16"/>
          <w:lang w:eastAsia="ru-RU"/>
        </w:rPr>
      </w:pPr>
      <w:r w:rsidRPr="00BB3E8D">
        <w:rPr>
          <w:rFonts w:ascii="Times New Roman" w:eastAsia="Times New Roman" w:hAnsi="Times New Roman" w:cs="Times New Roman"/>
          <w:color w:val="392C69"/>
          <w:sz w:val="16"/>
          <w:szCs w:val="16"/>
          <w:lang w:eastAsia="ru-RU"/>
        </w:rPr>
        <w:t xml:space="preserve">(в ред. Федеральных законов от 24.07.2009 </w:t>
      </w:r>
      <w:r w:rsidRPr="00BB3E8D">
        <w:rPr>
          <w:rFonts w:ascii="Times New Roman" w:eastAsia="Times New Roman" w:hAnsi="Times New Roman" w:cs="Times New Roman"/>
          <w:color w:val="0000FF"/>
          <w:sz w:val="16"/>
          <w:szCs w:val="16"/>
          <w:u w:val="single"/>
          <w:lang w:eastAsia="ru-RU"/>
        </w:rPr>
        <w:t>N 211-ФЗ</w:t>
      </w:r>
      <w:r w:rsidRPr="00BB3E8D">
        <w:rPr>
          <w:rFonts w:ascii="Times New Roman" w:eastAsia="Times New Roman" w:hAnsi="Times New Roman" w:cs="Times New Roman"/>
          <w:color w:val="392C69"/>
          <w:sz w:val="16"/>
          <w:szCs w:val="16"/>
          <w:lang w:eastAsia="ru-RU"/>
        </w:rPr>
        <w:t>,</w:t>
      </w:r>
    </w:p>
    <w:p w:rsidR="00D27351" w:rsidRPr="00BB3E8D" w:rsidRDefault="00D27351" w:rsidP="00D27351">
      <w:pPr>
        <w:spacing w:after="0" w:line="240" w:lineRule="auto"/>
        <w:jc w:val="center"/>
        <w:rPr>
          <w:rFonts w:ascii="Times New Roman" w:eastAsia="Times New Roman" w:hAnsi="Times New Roman" w:cs="Times New Roman"/>
          <w:color w:val="392C69"/>
          <w:sz w:val="16"/>
          <w:szCs w:val="16"/>
          <w:lang w:eastAsia="ru-RU"/>
        </w:rPr>
      </w:pPr>
      <w:r w:rsidRPr="00BB3E8D">
        <w:rPr>
          <w:rFonts w:ascii="Times New Roman" w:eastAsia="Times New Roman" w:hAnsi="Times New Roman" w:cs="Times New Roman"/>
          <w:color w:val="392C69"/>
          <w:sz w:val="16"/>
          <w:szCs w:val="16"/>
          <w:lang w:eastAsia="ru-RU"/>
        </w:rPr>
        <w:t xml:space="preserve">от 22.04.2010 </w:t>
      </w:r>
      <w:r w:rsidRPr="00BB3E8D">
        <w:rPr>
          <w:rFonts w:ascii="Times New Roman" w:eastAsia="Times New Roman" w:hAnsi="Times New Roman" w:cs="Times New Roman"/>
          <w:color w:val="0000FF"/>
          <w:sz w:val="16"/>
          <w:szCs w:val="16"/>
          <w:u w:val="single"/>
          <w:lang w:eastAsia="ru-RU"/>
        </w:rPr>
        <w:t>N 64-ФЗ</w:t>
      </w:r>
      <w:r w:rsidRPr="00BB3E8D">
        <w:rPr>
          <w:rFonts w:ascii="Times New Roman" w:eastAsia="Times New Roman" w:hAnsi="Times New Roman" w:cs="Times New Roman"/>
          <w:color w:val="392C69"/>
          <w:sz w:val="16"/>
          <w:szCs w:val="16"/>
          <w:lang w:eastAsia="ru-RU"/>
        </w:rPr>
        <w:t xml:space="preserve">, от 03.11.2010 </w:t>
      </w:r>
      <w:r w:rsidRPr="00BB3E8D">
        <w:rPr>
          <w:rFonts w:ascii="Times New Roman" w:eastAsia="Times New Roman" w:hAnsi="Times New Roman" w:cs="Times New Roman"/>
          <w:color w:val="0000FF"/>
          <w:sz w:val="16"/>
          <w:szCs w:val="16"/>
          <w:u w:val="single"/>
          <w:lang w:eastAsia="ru-RU"/>
        </w:rPr>
        <w:t>N 281-ФЗ</w:t>
      </w:r>
      <w:r w:rsidRPr="00BB3E8D">
        <w:rPr>
          <w:rFonts w:ascii="Times New Roman" w:eastAsia="Times New Roman" w:hAnsi="Times New Roman" w:cs="Times New Roman"/>
          <w:color w:val="392C69"/>
          <w:sz w:val="16"/>
          <w:szCs w:val="16"/>
          <w:lang w:eastAsia="ru-RU"/>
        </w:rPr>
        <w:t>,</w:t>
      </w:r>
    </w:p>
    <w:p w:rsidR="00D27351" w:rsidRPr="00BB3E8D" w:rsidRDefault="00D27351" w:rsidP="00D27351">
      <w:pPr>
        <w:spacing w:after="0" w:line="240" w:lineRule="auto"/>
        <w:jc w:val="center"/>
        <w:rPr>
          <w:rFonts w:ascii="Times New Roman" w:eastAsia="Times New Roman" w:hAnsi="Times New Roman" w:cs="Times New Roman"/>
          <w:color w:val="392C69"/>
          <w:sz w:val="16"/>
          <w:szCs w:val="16"/>
          <w:lang w:eastAsia="ru-RU"/>
        </w:rPr>
      </w:pPr>
      <w:r w:rsidRPr="00BB3E8D">
        <w:rPr>
          <w:rFonts w:ascii="Times New Roman" w:eastAsia="Times New Roman" w:hAnsi="Times New Roman" w:cs="Times New Roman"/>
          <w:color w:val="392C69"/>
          <w:sz w:val="16"/>
          <w:szCs w:val="16"/>
          <w:lang w:eastAsia="ru-RU"/>
        </w:rPr>
        <w:t xml:space="preserve">от 04.05.2011 </w:t>
      </w:r>
      <w:r w:rsidRPr="00BB3E8D">
        <w:rPr>
          <w:rFonts w:ascii="Times New Roman" w:eastAsia="Times New Roman" w:hAnsi="Times New Roman" w:cs="Times New Roman"/>
          <w:color w:val="0000FF"/>
          <w:sz w:val="16"/>
          <w:szCs w:val="16"/>
          <w:u w:val="single"/>
          <w:lang w:eastAsia="ru-RU"/>
        </w:rPr>
        <w:t>N 99-ФЗ</w:t>
      </w:r>
      <w:r w:rsidRPr="00BB3E8D">
        <w:rPr>
          <w:rFonts w:ascii="Times New Roman" w:eastAsia="Times New Roman" w:hAnsi="Times New Roman" w:cs="Times New Roman"/>
          <w:color w:val="392C69"/>
          <w:sz w:val="16"/>
          <w:szCs w:val="16"/>
          <w:lang w:eastAsia="ru-RU"/>
        </w:rPr>
        <w:t xml:space="preserve">, от 13.06.2011 </w:t>
      </w:r>
      <w:r w:rsidRPr="00BB3E8D">
        <w:rPr>
          <w:rFonts w:ascii="Times New Roman" w:eastAsia="Times New Roman" w:hAnsi="Times New Roman" w:cs="Times New Roman"/>
          <w:color w:val="0000FF"/>
          <w:sz w:val="16"/>
          <w:szCs w:val="16"/>
          <w:u w:val="single"/>
          <w:lang w:eastAsia="ru-RU"/>
        </w:rPr>
        <w:t>N 133-ФЗ</w:t>
      </w:r>
      <w:r w:rsidRPr="00BB3E8D">
        <w:rPr>
          <w:rFonts w:ascii="Times New Roman" w:eastAsia="Times New Roman" w:hAnsi="Times New Roman" w:cs="Times New Roman"/>
          <w:color w:val="392C69"/>
          <w:sz w:val="16"/>
          <w:szCs w:val="16"/>
          <w:lang w:eastAsia="ru-RU"/>
        </w:rPr>
        <w:t>,</w:t>
      </w:r>
    </w:p>
    <w:p w:rsidR="00D27351" w:rsidRPr="00BB3E8D" w:rsidRDefault="00D27351" w:rsidP="00D27351">
      <w:pPr>
        <w:spacing w:after="0" w:line="240" w:lineRule="auto"/>
        <w:jc w:val="center"/>
        <w:rPr>
          <w:rFonts w:ascii="Times New Roman" w:eastAsia="Times New Roman" w:hAnsi="Times New Roman" w:cs="Times New Roman"/>
          <w:color w:val="392C69"/>
          <w:sz w:val="16"/>
          <w:szCs w:val="16"/>
          <w:lang w:eastAsia="ru-RU"/>
        </w:rPr>
      </w:pPr>
      <w:r w:rsidRPr="00BB3E8D">
        <w:rPr>
          <w:rFonts w:ascii="Times New Roman" w:eastAsia="Times New Roman" w:hAnsi="Times New Roman" w:cs="Times New Roman"/>
          <w:color w:val="392C69"/>
          <w:sz w:val="16"/>
          <w:szCs w:val="16"/>
          <w:lang w:eastAsia="ru-RU"/>
        </w:rPr>
        <w:t xml:space="preserve">от 18.07.2011 </w:t>
      </w:r>
      <w:r w:rsidRPr="00BB3E8D">
        <w:rPr>
          <w:rFonts w:ascii="Times New Roman" w:eastAsia="Times New Roman" w:hAnsi="Times New Roman" w:cs="Times New Roman"/>
          <w:color w:val="0000FF"/>
          <w:sz w:val="16"/>
          <w:szCs w:val="16"/>
          <w:u w:val="single"/>
          <w:lang w:eastAsia="ru-RU"/>
        </w:rPr>
        <w:t>N 242-ФЗ</w:t>
      </w:r>
      <w:r w:rsidRPr="00BB3E8D">
        <w:rPr>
          <w:rFonts w:ascii="Times New Roman" w:eastAsia="Times New Roman" w:hAnsi="Times New Roman" w:cs="Times New Roman"/>
          <w:color w:val="392C69"/>
          <w:sz w:val="16"/>
          <w:szCs w:val="16"/>
          <w:lang w:eastAsia="ru-RU"/>
        </w:rPr>
        <w:t xml:space="preserve">, от 21.11.2011 N </w:t>
      </w:r>
      <w:r w:rsidRPr="00BB3E8D">
        <w:rPr>
          <w:rFonts w:ascii="Times New Roman" w:eastAsia="Times New Roman" w:hAnsi="Times New Roman" w:cs="Times New Roman"/>
          <w:color w:val="0000FF"/>
          <w:sz w:val="16"/>
          <w:szCs w:val="16"/>
          <w:u w:val="single"/>
          <w:lang w:eastAsia="ru-RU"/>
        </w:rPr>
        <w:t>327-ФЗ</w:t>
      </w:r>
      <w:r w:rsidRPr="00BB3E8D">
        <w:rPr>
          <w:rFonts w:ascii="Times New Roman" w:eastAsia="Times New Roman" w:hAnsi="Times New Roman" w:cs="Times New Roman"/>
          <w:color w:val="392C69"/>
          <w:sz w:val="16"/>
          <w:szCs w:val="16"/>
          <w:lang w:eastAsia="ru-RU"/>
        </w:rPr>
        <w:t>,</w:t>
      </w:r>
    </w:p>
    <w:p w:rsidR="00D27351" w:rsidRPr="00BB3E8D" w:rsidRDefault="00D27351" w:rsidP="00D27351">
      <w:pPr>
        <w:spacing w:after="0" w:line="240" w:lineRule="auto"/>
        <w:jc w:val="center"/>
        <w:rPr>
          <w:rFonts w:ascii="Times New Roman" w:eastAsia="Times New Roman" w:hAnsi="Times New Roman" w:cs="Times New Roman"/>
          <w:color w:val="392C69"/>
          <w:sz w:val="16"/>
          <w:szCs w:val="16"/>
          <w:lang w:eastAsia="ru-RU"/>
        </w:rPr>
      </w:pPr>
      <w:r w:rsidRPr="00BB3E8D">
        <w:rPr>
          <w:rFonts w:ascii="Times New Roman" w:eastAsia="Times New Roman" w:hAnsi="Times New Roman" w:cs="Times New Roman"/>
          <w:color w:val="392C69"/>
          <w:sz w:val="16"/>
          <w:szCs w:val="16"/>
          <w:lang w:eastAsia="ru-RU"/>
        </w:rPr>
        <w:t xml:space="preserve">от 16.10.2012 </w:t>
      </w:r>
      <w:r w:rsidRPr="00BB3E8D">
        <w:rPr>
          <w:rFonts w:ascii="Times New Roman" w:eastAsia="Times New Roman" w:hAnsi="Times New Roman" w:cs="Times New Roman"/>
          <w:color w:val="0000FF"/>
          <w:sz w:val="16"/>
          <w:szCs w:val="16"/>
          <w:u w:val="single"/>
          <w:lang w:eastAsia="ru-RU"/>
        </w:rPr>
        <w:t>N 168-ФЗ</w:t>
      </w:r>
      <w:r w:rsidRPr="00BB3E8D">
        <w:rPr>
          <w:rFonts w:ascii="Times New Roman" w:eastAsia="Times New Roman" w:hAnsi="Times New Roman" w:cs="Times New Roman"/>
          <w:color w:val="392C69"/>
          <w:sz w:val="16"/>
          <w:szCs w:val="16"/>
          <w:lang w:eastAsia="ru-RU"/>
        </w:rPr>
        <w:t xml:space="preserve">, от 23.07.2013 </w:t>
      </w:r>
      <w:r w:rsidRPr="00BB3E8D">
        <w:rPr>
          <w:rFonts w:ascii="Times New Roman" w:eastAsia="Times New Roman" w:hAnsi="Times New Roman" w:cs="Times New Roman"/>
          <w:color w:val="0000FF"/>
          <w:sz w:val="16"/>
          <w:szCs w:val="16"/>
          <w:u w:val="single"/>
          <w:lang w:eastAsia="ru-RU"/>
        </w:rPr>
        <w:t>N 198-ФЗ</w:t>
      </w:r>
      <w:r w:rsidRPr="00BB3E8D">
        <w:rPr>
          <w:rFonts w:ascii="Times New Roman" w:eastAsia="Times New Roman" w:hAnsi="Times New Roman" w:cs="Times New Roman"/>
          <w:color w:val="392C69"/>
          <w:sz w:val="16"/>
          <w:szCs w:val="16"/>
          <w:lang w:eastAsia="ru-RU"/>
        </w:rPr>
        <w:t>,</w:t>
      </w:r>
    </w:p>
    <w:p w:rsidR="00D27351" w:rsidRPr="00BB3E8D" w:rsidRDefault="00D27351" w:rsidP="00D27351">
      <w:pPr>
        <w:spacing w:after="0" w:line="240" w:lineRule="auto"/>
        <w:jc w:val="center"/>
        <w:rPr>
          <w:rFonts w:ascii="Times New Roman" w:eastAsia="Times New Roman" w:hAnsi="Times New Roman" w:cs="Times New Roman"/>
          <w:color w:val="392C69"/>
          <w:sz w:val="16"/>
          <w:szCs w:val="16"/>
          <w:lang w:eastAsia="ru-RU"/>
        </w:rPr>
      </w:pPr>
      <w:r w:rsidRPr="00BB3E8D">
        <w:rPr>
          <w:rFonts w:ascii="Times New Roman" w:eastAsia="Times New Roman" w:hAnsi="Times New Roman" w:cs="Times New Roman"/>
          <w:color w:val="392C69"/>
          <w:sz w:val="16"/>
          <w:szCs w:val="16"/>
          <w:lang w:eastAsia="ru-RU"/>
        </w:rPr>
        <w:t xml:space="preserve">от 21.07.2014 </w:t>
      </w:r>
      <w:r w:rsidRPr="00BB3E8D">
        <w:rPr>
          <w:rFonts w:ascii="Times New Roman" w:eastAsia="Times New Roman" w:hAnsi="Times New Roman" w:cs="Times New Roman"/>
          <w:color w:val="0000FF"/>
          <w:sz w:val="16"/>
          <w:szCs w:val="16"/>
          <w:u w:val="single"/>
          <w:lang w:eastAsia="ru-RU"/>
        </w:rPr>
        <w:t>N 222-ФЗ</w:t>
      </w:r>
      <w:r w:rsidRPr="00BB3E8D">
        <w:rPr>
          <w:rFonts w:ascii="Times New Roman" w:eastAsia="Times New Roman" w:hAnsi="Times New Roman" w:cs="Times New Roman"/>
          <w:color w:val="392C69"/>
          <w:sz w:val="16"/>
          <w:szCs w:val="16"/>
          <w:lang w:eastAsia="ru-RU"/>
        </w:rPr>
        <w:t xml:space="preserve">, от 22.07.2014 </w:t>
      </w:r>
      <w:r w:rsidRPr="00BB3E8D">
        <w:rPr>
          <w:rFonts w:ascii="Times New Roman" w:eastAsia="Times New Roman" w:hAnsi="Times New Roman" w:cs="Times New Roman"/>
          <w:color w:val="0000FF"/>
          <w:sz w:val="16"/>
          <w:szCs w:val="16"/>
          <w:u w:val="single"/>
          <w:lang w:eastAsia="ru-RU"/>
        </w:rPr>
        <w:t>N 278-ФЗ</w:t>
      </w:r>
      <w:r w:rsidRPr="00BB3E8D">
        <w:rPr>
          <w:rFonts w:ascii="Times New Roman" w:eastAsia="Times New Roman" w:hAnsi="Times New Roman" w:cs="Times New Roman"/>
          <w:color w:val="392C69"/>
          <w:sz w:val="16"/>
          <w:szCs w:val="16"/>
          <w:lang w:eastAsia="ru-RU"/>
        </w:rPr>
        <w:t xml:space="preserve">, от 01.05.2016 </w:t>
      </w:r>
      <w:r w:rsidRPr="00BB3E8D">
        <w:rPr>
          <w:rFonts w:ascii="Times New Roman" w:eastAsia="Times New Roman" w:hAnsi="Times New Roman" w:cs="Times New Roman"/>
          <w:color w:val="0000FF"/>
          <w:sz w:val="16"/>
          <w:szCs w:val="16"/>
          <w:u w:val="single"/>
          <w:lang w:eastAsia="ru-RU"/>
        </w:rPr>
        <w:t>N 121-ФЗ</w:t>
      </w:r>
      <w:r w:rsidRPr="00BB3E8D">
        <w:rPr>
          <w:rFonts w:ascii="Times New Roman" w:eastAsia="Times New Roman" w:hAnsi="Times New Roman" w:cs="Times New Roman"/>
          <w:color w:val="392C69"/>
          <w:sz w:val="16"/>
          <w:szCs w:val="16"/>
          <w:lang w:eastAsia="ru-RU"/>
        </w:rPr>
        <w:t>)</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Глава 1. ОБЩИЕ ПОЛОЖЕНИЯ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 Предмет регулирования настоящего Федерального закона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Настоящим Федеральным законом определяются правовые основы государственного регулирования деятельности по организации и проведению азартных игр на территории Российской Федерации и устанавливаются ограничения осуществления данной деятельности в целях защиты нравственности, прав и законных интересов граждан.</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 Действие настоящего Федерального закона не распространяется на деятельность по организации и проведению лотерей, а также на деятельность организаторов торговли, осуществляющих свою деятельность в соответствии с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"Об организованных торгах".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21.11.2011 N 327-ФЗ)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2. Законодательство о государственном регулировании деятельности по организации и проведению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Правовое регулирование деятельности по организации и проведению азартных игр осуществляется в соответствии с Гражданским кодексом Российской Федерации, настоящим Федеральным законом, другими федеральными законами, законами субъектов Российской Федерации, а также может осуществляться принятыми в соответствии с настоящим Федеральным законом иными нормативными правовыми актами.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3. Государственное регулирование деятельности по организации и проведению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Государственное регулирование деятельности по организации и проведению азартных игр осуществляется путем:</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установления порядка осуществления деятельности по организации и проведению азартных игр и соответствующих ограничений, обязательных требований к организаторам азартных игр, игорным заведениям, посетителям игорных заведений, игорных зон;</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выделения территорий, предназначенных для осуществления деятельности по организации и проведению азартных игр, - игорных зон;</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выдачи разрешений на осуществление деятельности по организации и проведению азартных игр в игорных зонах;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4) выдачи </w:t>
      </w:r>
      <w:r w:rsidRPr="00BB3E8D">
        <w:rPr>
          <w:rFonts w:ascii="Times New Roman" w:eastAsia="Times New Roman" w:hAnsi="Times New Roman" w:cs="Times New Roman"/>
          <w:color w:val="0000FF"/>
          <w:sz w:val="16"/>
          <w:szCs w:val="16"/>
          <w:u w:val="single"/>
          <w:lang w:eastAsia="ru-RU"/>
        </w:rPr>
        <w:t>лицензий</w:t>
      </w:r>
      <w:r w:rsidRPr="00BB3E8D">
        <w:rPr>
          <w:rFonts w:ascii="Times New Roman" w:eastAsia="Times New Roman" w:hAnsi="Times New Roman" w:cs="Times New Roman"/>
          <w:sz w:val="16"/>
          <w:szCs w:val="16"/>
          <w:lang w:eastAsia="ru-RU"/>
        </w:rPr>
        <w:t xml:space="preserve"> на осуществление деятельности по организации и проведению азартных игр в букмекерских конторах и тотализаторах;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осуществления государственного надзора в области организации и проведения азартных игр, направленного на предупреждение, выявление и пресечение нарушений законодательства о государственном регулировании деятельности по организации и проведению азартных игр лицами, осуществляющими указанную деятельность.</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5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18.07.2011 N 242-ФЗ)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 Государственное регулирование деятельности по организации и проведению азартных игр в соответствии с настоящим Федеральным законом осуществляется Правительством Российской Федерации, </w:t>
      </w:r>
      <w:r w:rsidRPr="00BB3E8D">
        <w:rPr>
          <w:rFonts w:ascii="Times New Roman" w:eastAsia="Times New Roman" w:hAnsi="Times New Roman" w:cs="Times New Roman"/>
          <w:color w:val="0000FF"/>
          <w:sz w:val="16"/>
          <w:szCs w:val="16"/>
          <w:u w:val="single"/>
          <w:lang w:eastAsia="ru-RU"/>
        </w:rPr>
        <w:t>федеральным органом</w:t>
      </w:r>
      <w:r w:rsidRPr="00BB3E8D">
        <w:rPr>
          <w:rFonts w:ascii="Times New Roman" w:eastAsia="Times New Roman" w:hAnsi="Times New Roman" w:cs="Times New Roman"/>
          <w:sz w:val="16"/>
          <w:szCs w:val="16"/>
          <w:lang w:eastAsia="ru-RU"/>
        </w:rPr>
        <w:t xml:space="preserve">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иными федеральными органами исполнительной власти Российской Федерации в пределах их компетенции, органами государственной власти субъектов Российской Федерации, уполномоченными на осуществление функций по управлению игорными зонами.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 </w:t>
      </w:r>
      <w:r w:rsidRPr="00BB3E8D">
        <w:rPr>
          <w:rFonts w:ascii="Times New Roman" w:eastAsia="Times New Roman" w:hAnsi="Times New Roman" w:cs="Times New Roman"/>
          <w:color w:val="0000FF"/>
          <w:sz w:val="16"/>
          <w:szCs w:val="16"/>
          <w:u w:val="single"/>
          <w:lang w:eastAsia="ru-RU"/>
        </w:rPr>
        <w:t>Проверка</w:t>
      </w:r>
      <w:r w:rsidRPr="00BB3E8D">
        <w:rPr>
          <w:rFonts w:ascii="Times New Roman" w:eastAsia="Times New Roman" w:hAnsi="Times New Roman" w:cs="Times New Roman"/>
          <w:sz w:val="16"/>
          <w:szCs w:val="16"/>
          <w:lang w:eastAsia="ru-RU"/>
        </w:rPr>
        <w:t xml:space="preserve"> технического состояния игрового оборудования осуществляется уполномоченным Правительством Российской Федерации федеральным </w:t>
      </w:r>
      <w:r w:rsidRPr="00BB3E8D">
        <w:rPr>
          <w:rFonts w:ascii="Times New Roman" w:eastAsia="Times New Roman" w:hAnsi="Times New Roman" w:cs="Times New Roman"/>
          <w:color w:val="0000FF"/>
          <w:sz w:val="16"/>
          <w:szCs w:val="16"/>
          <w:u w:val="single"/>
          <w:lang w:eastAsia="ru-RU"/>
        </w:rPr>
        <w:t>органом</w:t>
      </w:r>
      <w:r w:rsidRPr="00BB3E8D">
        <w:rPr>
          <w:rFonts w:ascii="Times New Roman" w:eastAsia="Times New Roman" w:hAnsi="Times New Roman" w:cs="Times New Roman"/>
          <w:sz w:val="16"/>
          <w:szCs w:val="16"/>
          <w:lang w:eastAsia="ru-RU"/>
        </w:rPr>
        <w:t xml:space="preserve"> исполнительной власти, осуществляющим функции по контролю и надзору за соблюдением законодательства о налогах и сборах.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4. Основные понятия, используемые в настоящем Федеральном законе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Для целей настоящего Федерального закона используются следующие основные понятия: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азартная игра - основанное на риске соглашение о выигрыше, заключенное двумя или несколькими участниками такого соглашения между собой либо с организатором азартной игры по правилам, установленным организатором азартной игры;</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пари - азартная игра, при которой исход основанного на риске соглашения о выигрыше, заключаемого двумя или несколькими участниками пари между собой либо с организатором данного вида азартной игры, зависит от события, относительно которого неизвестно, наступит оно или нет;</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ставка - денежные средства, передаваемые участником азартной игры организатору азартной игры (за исключением денежных средств, признаваемых в соответствии с настоящим Федеральным законом интерактивной ставкой) и служащие условием участия в азартной игре в соответствии с правилами, установленными организатором азартной игры;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3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3.1) интерактивная ставка - денежные средства, в том числе электронные денежные средства, передаваемые с использованием электронных средств платежа центром учета переводов интерактивных ставок букмекерских контор или тотализаторов организатору </w:t>
      </w:r>
      <w:r w:rsidRPr="00BB3E8D">
        <w:rPr>
          <w:rFonts w:ascii="Times New Roman" w:eastAsia="Times New Roman" w:hAnsi="Times New Roman" w:cs="Times New Roman"/>
          <w:sz w:val="16"/>
          <w:szCs w:val="16"/>
          <w:lang w:eastAsia="ru-RU"/>
        </w:rPr>
        <w:lastRenderedPageBreak/>
        <w:t>азартных игр в букмекерской конторе или тотализаторе по поручениям участников данных видов азартных игр и служащие условием участия в азартной игре в соответствии с правилами, установленными таким организатором азартных игр;</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3.1 введен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выигрыш - денежные средства или иное имущество, в том числе имущественные права, подлежащие выплате или передаче участнику азартной игры при наступлении результата азартной игры, предусмотренного правилами, установленными организатором азартной игры;</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организатор азартной игры - юридическое лицо, осуществляющее деятельность по организации и проведению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деятельность по организации и проведению азартных игр - деятельность по оказанию услуг по заключению с участниками азартных игр основанных на риске соглашений о выигрыше и (или) по организации заключения таких соглашений между двумя или несколькими участниками азартной игры;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6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23.07.2013 N 198-ФЗ)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7) игорная зона - часть территории Российской Федерации, которая предназначена для осуществления деятельности по организации и проведению азартных игр и границы которой установлены в соответствии с настоящим Федеральным законом;</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8) разрешение на осуществление деятельности по организации и проведению азартных игр в игорной зоне - выдаваемый в соответствии с настоящим Федеральным законом документ, предоставляющий организатору азартных игр право осуществлять деятельность по организации и проведению азартных игр в одной игорной зоне без ограничения количества и вида игорных заведений;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9) лицензия на осуществление деятельности по организации и проведению азартных игр в букмекерских конторах и тотализаторах - документ, выдаваемый в соответствии с настоящим Федеральным законом и предоставляющий организатору азартных игр право осуществлять деятельность по организации и проведению азартных игр в букмекерских конторах и (или) тотализаторах вне игорных зон, с обязательным указанием вида оказываемых услуг (услуг по заключению с участниками азартных игр основанных на риске соглашений о выигрыше и (или) услуг по организации заключения основанных на риске соглашений о выигрыше между двумя или несколькими участниками азартной игры), места нахождения процессингового центра букмекерской конторы или тотализатора, количества и места нахождения филиалов, пунктов приема ставок букмекерских контор или тотализаторов либо иных мест осуществления деятельности по организации и проведению азартных игр в букмекерских конторах и тотализаторах;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9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10) участник азартной игры - физическое лицо, достигшее возраста восемнадцати лет, принимающее участие в азартной игре и заключающее основанное на риске соглашение о выигрыше с организатором азартной игры или другим участником азартной игры;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филиал или иное место осуществления деятельности по организации и проведению азартных игр и оказанию сопутствующих азартным играм услуг);</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12) казино - игорное заведение, в котором осуществляется деятельность по организации и проведению азартных игр с использованием игровых столов или игровых столов и иного предусмотренного настоящим Федеральным законом игрового оборудования;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13) зал игровых автоматов - игорное заведение, в котором осуществляется деятельность по организации и проведению азартных игр с использованием игровых автоматов или игровых автоматов и иного предусмотренного настоящим Федеральным законом игрового оборудования, за исключением игровых столов;</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14) букмекерская контора - игорное заведение, в котором организатор азартных игр заключает пари с участниками данного вида азартных игр;</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15) тотализатор - игорное заведение, в котором организатор азартных игр организует заключение пари между участниками данного вида азартных игр, а также выплату выигрышей за счет суммы ставок, принятых от участников данного вида азартных игр, за вычетом размера взимаемого организатором данного вида азартных игр вознаграждения;</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Федеральных законов от 13.06.2011 </w:t>
      </w:r>
      <w:r w:rsidRPr="00BB3E8D">
        <w:rPr>
          <w:rFonts w:ascii="Times New Roman" w:eastAsia="Times New Roman" w:hAnsi="Times New Roman" w:cs="Times New Roman"/>
          <w:color w:val="0000FF"/>
          <w:sz w:val="16"/>
          <w:szCs w:val="16"/>
          <w:lang w:eastAsia="ru-RU"/>
        </w:rPr>
        <w:t>N 133-ФЗ</w:t>
      </w:r>
      <w:r w:rsidRPr="00BB3E8D">
        <w:rPr>
          <w:rFonts w:ascii="Times New Roman" w:eastAsia="Times New Roman" w:hAnsi="Times New Roman" w:cs="Times New Roman"/>
          <w:color w:val="828282"/>
          <w:sz w:val="16"/>
          <w:szCs w:val="16"/>
          <w:lang w:eastAsia="ru-RU"/>
        </w:rPr>
        <w:t xml:space="preserve">, от 21.07.2014 </w:t>
      </w:r>
      <w:r w:rsidRPr="00BB3E8D">
        <w:rPr>
          <w:rFonts w:ascii="Times New Roman" w:eastAsia="Times New Roman" w:hAnsi="Times New Roman" w:cs="Times New Roman"/>
          <w:color w:val="0000FF"/>
          <w:sz w:val="16"/>
          <w:szCs w:val="16"/>
          <w:lang w:eastAsia="ru-RU"/>
        </w:rPr>
        <w:t>N 222-ФЗ</w:t>
      </w:r>
      <w:r w:rsidRPr="00BB3E8D">
        <w:rPr>
          <w:rFonts w:ascii="Times New Roman" w:eastAsia="Times New Roman" w:hAnsi="Times New Roman" w:cs="Times New Roman"/>
          <w:color w:val="828282"/>
          <w:sz w:val="16"/>
          <w:szCs w:val="16"/>
          <w:lang w:eastAsia="ru-RU"/>
        </w:rPr>
        <w:t>)</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16) игровое оборудование - устройства или приспособления, используемые для проведения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17) игровой стол - игровое оборудование, которое представляет собой место с одним или несколькими игровыми полями и при помощи которого организатор азартных игр проводит азартные игры между их участниками либо выступает в качестве их участника через своих работников;</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18) игровой автомат - игровое оборудование (механическое, электрическое, электронное или иное техническое оборудование), используемое для проведения азартных игр с материальным выигрышем, который определяется случайным образом устройством, находящимся внутри корпуса такого игрового оборудования, без участия организатора азартных игр или его работников;</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19) касса букмекерской конторы - часть пункта приема ставок букмекерской конторы,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Федеральных законов от 13.06.2011 </w:t>
      </w:r>
      <w:r w:rsidRPr="00BB3E8D">
        <w:rPr>
          <w:rFonts w:ascii="Times New Roman" w:eastAsia="Times New Roman" w:hAnsi="Times New Roman" w:cs="Times New Roman"/>
          <w:color w:val="0000FF"/>
          <w:sz w:val="16"/>
          <w:szCs w:val="16"/>
          <w:lang w:eastAsia="ru-RU"/>
        </w:rPr>
        <w:t>N 133-ФЗ</w:t>
      </w:r>
      <w:r w:rsidRPr="00BB3E8D">
        <w:rPr>
          <w:rFonts w:ascii="Times New Roman" w:eastAsia="Times New Roman" w:hAnsi="Times New Roman" w:cs="Times New Roman"/>
          <w:color w:val="828282"/>
          <w:sz w:val="16"/>
          <w:szCs w:val="16"/>
          <w:lang w:eastAsia="ru-RU"/>
        </w:rPr>
        <w:t xml:space="preserve">, от 21.07.2014 </w:t>
      </w:r>
      <w:r w:rsidRPr="00BB3E8D">
        <w:rPr>
          <w:rFonts w:ascii="Times New Roman" w:eastAsia="Times New Roman" w:hAnsi="Times New Roman" w:cs="Times New Roman"/>
          <w:color w:val="0000FF"/>
          <w:sz w:val="16"/>
          <w:szCs w:val="16"/>
          <w:lang w:eastAsia="ru-RU"/>
        </w:rPr>
        <w:t>N 222-ФЗ</w:t>
      </w:r>
      <w:r w:rsidRPr="00BB3E8D">
        <w:rPr>
          <w:rFonts w:ascii="Times New Roman" w:eastAsia="Times New Roman" w:hAnsi="Times New Roman" w:cs="Times New Roman"/>
          <w:color w:val="828282"/>
          <w:sz w:val="16"/>
          <w:szCs w:val="16"/>
          <w:lang w:eastAsia="ru-RU"/>
        </w:rPr>
        <w:t>)</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20) касса тотализатора - часть пункта приема ставок тотализатора, в которой организатор азартных игр принимает ставки от участников данного вида азартных игр, за исключением интерактивных ставок, и выплачивает выигрыши;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Федеральных законов от 13.06.2011 </w:t>
      </w:r>
      <w:r w:rsidRPr="00BB3E8D">
        <w:rPr>
          <w:rFonts w:ascii="Times New Roman" w:eastAsia="Times New Roman" w:hAnsi="Times New Roman" w:cs="Times New Roman"/>
          <w:color w:val="0000FF"/>
          <w:sz w:val="16"/>
          <w:szCs w:val="16"/>
          <w:lang w:eastAsia="ru-RU"/>
        </w:rPr>
        <w:t>N 133-ФЗ</w:t>
      </w:r>
      <w:r w:rsidRPr="00BB3E8D">
        <w:rPr>
          <w:rFonts w:ascii="Times New Roman" w:eastAsia="Times New Roman" w:hAnsi="Times New Roman" w:cs="Times New Roman"/>
          <w:color w:val="828282"/>
          <w:sz w:val="16"/>
          <w:szCs w:val="16"/>
          <w:lang w:eastAsia="ru-RU"/>
        </w:rPr>
        <w:t xml:space="preserve">, от 21.07.2014 </w:t>
      </w:r>
      <w:r w:rsidRPr="00BB3E8D">
        <w:rPr>
          <w:rFonts w:ascii="Times New Roman" w:eastAsia="Times New Roman" w:hAnsi="Times New Roman" w:cs="Times New Roman"/>
          <w:color w:val="0000FF"/>
          <w:sz w:val="16"/>
          <w:szCs w:val="16"/>
          <w:lang w:eastAsia="ru-RU"/>
        </w:rPr>
        <w:t>N 222-ФЗ</w:t>
      </w:r>
      <w:r w:rsidRPr="00BB3E8D">
        <w:rPr>
          <w:rFonts w:ascii="Times New Roman" w:eastAsia="Times New Roman" w:hAnsi="Times New Roman" w:cs="Times New Roman"/>
          <w:color w:val="828282"/>
          <w:sz w:val="16"/>
          <w:szCs w:val="16"/>
          <w:lang w:eastAsia="ru-RU"/>
        </w:rPr>
        <w:t>)</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21) касса игорного заведения - часть игорного заведения, в которой организатор азартных игр осуществляет операции с денежными средствами и в которой находится специальное оборудование, позволяющее осуществлять указанные операции;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22) зона обслуживания участников азартных игр - часть игорного заведения, в которой установлены игровое оборудование, кассы игорного заведения, тотализатора, букмекерской конторы, а также иное используемое участниками азартных игр оборудование;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23) служебная зона игорного заведения - обособленная часть игорного заведения, которая предназначена для работников организатора азартных игр и в которую не допускаются участники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24) сопутствующие азартным играм услуги - гостиничные услуги, услуги общественного питания, услуги в сфере зрелищно-развлекательных мероприятий, услуги по распространению (реализации, выдаче) лотерейных билетов, лотерейных квитанций, электронных лотерейных билетов, приему лотерейных ставок среди участников лотереи, выплате, передаче или предоставлению выигрышей участникам международных лотерей, которые проводятся на основании международных договоров Российской Федерации, и всероссийских государственных лотерей;</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25) процессинговый центр букмекерской конторы - часть игорного заведения, в которой организатор азартных игр проводит учет ставок, принятых от участников данного вида азартных игр, проводит на основе информации, полученной от центра учета переводов интерактивных ставок букмекерской конторы, учет интерактивных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букмекерской конторы и в центр учета переводов интерактивных ставок букмекерских контор;</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25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26) процессинговый центр тотализатора - часть игорного заведения, в которой организатор азартных игр проводит учет ставок, принятых от участников данного вида азартных игр, проводит на основе информации, полученной от центра учета переводов интерактивных ставок тотализаторов, учет интерактивных ставок, принятых от участников данного вида азартных игр, фиксирует результаты азартных игр, рассчитывает суммы подлежащих выплате выигрышей, осуществляет представление информации о принятых ставках, интерактивных ставках и о рассчитанных выигрышах в пункты приема ставок тотализатора и в центр учета переводов интерактивных ставок тотализаторов;</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26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27) пункт приема ставок букмекерской конторы - территориально обособленная часть игорного заведения, в которой организатор азартных игр заключает пари с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букмекерской конторы;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lastRenderedPageBreak/>
        <w:t xml:space="preserve">(п. 27 введен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28) пункт приема ставок тотализатора - территориально обособленная часть игорного заведения, в которой организатор азартных игр организует заключение пари между участниками данного вида азартных игр и осуществляет представление информации о принятых ставках, выплаченных и невыплаченных выигрышах в процессинговый центр тотализатора;</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28 введен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29) центр учета переводов интерактивных ставок букмекерских контор или тотализаторов - кредитная организация, в том числе небанковская кредитная организация, осуществляющая деятельность в соответствии со </w:t>
      </w:r>
      <w:r w:rsidRPr="00BB3E8D">
        <w:rPr>
          <w:rFonts w:ascii="Times New Roman" w:eastAsia="Times New Roman" w:hAnsi="Times New Roman" w:cs="Times New Roman"/>
          <w:color w:val="0000FF"/>
          <w:sz w:val="16"/>
          <w:szCs w:val="16"/>
          <w:u w:val="single"/>
          <w:lang w:eastAsia="ru-RU"/>
        </w:rPr>
        <w:t>статьей 14.2</w:t>
      </w:r>
      <w:r w:rsidRPr="00BB3E8D">
        <w:rPr>
          <w:rFonts w:ascii="Times New Roman" w:eastAsia="Times New Roman" w:hAnsi="Times New Roman" w:cs="Times New Roman"/>
          <w:sz w:val="16"/>
          <w:szCs w:val="16"/>
          <w:lang w:eastAsia="ru-RU"/>
        </w:rPr>
        <w:t xml:space="preserve"> настоящего Федерального закона.</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29 введен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5. Ограничения осуществления деятельности по организации и проведению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Деятельность по организации и проведению азартных игр может осуществляться исключительно организаторами азартных игр при соблюдении требований, предусмотренных настоящим Федеральным законом, другими федеральными законами, законами субъектов Российской Федерации и иными нормативными правовыми актами.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Деятельность по организации и проведению азартных игр может осуществляться исключительно в игорных заведениях, соответствующих требованиям, предусмотренным настоящим Федеральным законом, другими федеральными законами, законами субъектов Российской Федерации, иными нормативными правовыми актами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Деятельность по организации и проведению азартных игр с использованием информационно-телекоммуникационных сетей, в том числе сети "Интернет", а также средств связи, в том числе подвижной связи, запрещена, за исключением случаев, предусмотренных настоящим Федеральным законом.</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Игорные заведения (за исключением букмекерских контор, тотализаторов, их пунктов приема ставок) могут быть открыты исключительно в игорных зонах в порядке, установленном настоящим Федеральным законом.</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Игорные зоны не могут быть созданы на землях населенных пунктов, за исключением создания игорной зоны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Государственной корпорации по строительству олимпийских объектов и развитию города Сочи как горноклиматического курорта (далее - Корпорация).</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Федеральных законов от 21.07.2014 </w:t>
      </w:r>
      <w:r w:rsidRPr="00BB3E8D">
        <w:rPr>
          <w:rFonts w:ascii="Times New Roman" w:eastAsia="Times New Roman" w:hAnsi="Times New Roman" w:cs="Times New Roman"/>
          <w:color w:val="0000FF"/>
          <w:sz w:val="16"/>
          <w:szCs w:val="16"/>
          <w:lang w:eastAsia="ru-RU"/>
        </w:rPr>
        <w:t>N 222-ФЗ</w:t>
      </w:r>
      <w:r w:rsidRPr="00BB3E8D">
        <w:rPr>
          <w:rFonts w:ascii="Times New Roman" w:eastAsia="Times New Roman" w:hAnsi="Times New Roman" w:cs="Times New Roman"/>
          <w:color w:val="828282"/>
          <w:sz w:val="16"/>
          <w:szCs w:val="16"/>
          <w:lang w:eastAsia="ru-RU"/>
        </w:rPr>
        <w:t xml:space="preserve">, от 22.07.2014 </w:t>
      </w:r>
      <w:r w:rsidRPr="00BB3E8D">
        <w:rPr>
          <w:rFonts w:ascii="Times New Roman" w:eastAsia="Times New Roman" w:hAnsi="Times New Roman" w:cs="Times New Roman"/>
          <w:color w:val="0000FF"/>
          <w:sz w:val="16"/>
          <w:szCs w:val="16"/>
          <w:lang w:eastAsia="ru-RU"/>
        </w:rPr>
        <w:t>N 278-ФЗ</w:t>
      </w:r>
      <w:r w:rsidRPr="00BB3E8D">
        <w:rPr>
          <w:rFonts w:ascii="Times New Roman" w:eastAsia="Times New Roman" w:hAnsi="Times New Roman" w:cs="Times New Roman"/>
          <w:color w:val="828282"/>
          <w:sz w:val="16"/>
          <w:szCs w:val="16"/>
          <w:lang w:eastAsia="ru-RU"/>
        </w:rPr>
        <w:t>)</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Не допускается прием ставок организатором азартных игр в букмекерских конторах или тотализаторах путем перевода денежных средств, в том числе перевода электронных денежных средств, приема платежей физических лиц, почтового перевода денежных средств организатору азартных игр, осуществляемых оператором по переводу денежных средств, в том числе оператором электронных денежных средств, банковским платежным агентом и (или) банковским платежным субагентом, за исключением денежных средств, признаваемых в соответствии с настоящим Федеральным законом интерактивной ставкой. Организатор азартных игр в букмекерских конторах или тотализаторах вправе принимать интерактивные ставки, переданные только путем перевода денежных средств, в том числе электронных денежных средств (за исключением почтовых переводов), центром учета переводов интерактивных ставок букмекерских контор или тотализаторов с использованием электронных средств платежа по поручениям участников данных видов азартных игр.</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6 введен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6. Требования к организаторам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 Организаторами азартных игр могут выступать исключительно юридические лица, зарегистрированные в установленном </w:t>
      </w:r>
      <w:r w:rsidRPr="00BB3E8D">
        <w:rPr>
          <w:rFonts w:ascii="Times New Roman" w:eastAsia="Times New Roman" w:hAnsi="Times New Roman" w:cs="Times New Roman"/>
          <w:color w:val="0000FF"/>
          <w:sz w:val="16"/>
          <w:szCs w:val="16"/>
          <w:u w:val="single"/>
          <w:lang w:eastAsia="ru-RU"/>
        </w:rPr>
        <w:t>порядке</w:t>
      </w:r>
      <w:r w:rsidRPr="00BB3E8D">
        <w:rPr>
          <w:rFonts w:ascii="Times New Roman" w:eastAsia="Times New Roman" w:hAnsi="Times New Roman" w:cs="Times New Roman"/>
          <w:sz w:val="16"/>
          <w:szCs w:val="16"/>
          <w:lang w:eastAsia="ru-RU"/>
        </w:rPr>
        <w:t xml:space="preserve"> на территории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1.1. Организаторами азартных игр в букмекерских конторах или тотализаторах могут выступать исключительно юридические лица, являющиеся членами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1.1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1.2. Организаторами азартных игр могут выступать юридические лица, которые будут осуществлять деятельность по организации и проведению азартных игр в игорной зоне, созданной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1.2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Не могут выступать организаторами азартных игр юридические лица, учредителями (участниками) которых являются Российская Федерация, субъекты Российской Федерации или органы местного самоуправления, за исключением созданного в соответствии с указом Президента Российской Федерации акционерного общества,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 Не могут выступать организаторами азартных игр юридические лица, учредителями (участниками) которых являются лица, имеющие неснятую или непогашенную судимость за преступления в сфере экономики либо за умышленные преступления средней тяжести, тяжкие преступления, особо тяжкие преступления.</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2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 Организатор азартных игр обязан предоставлять сведения, необходимые для осуществления государственного надзора за соблюдением требований законодательства о государственном регулировании деятельности по организации и проведению азартных игр. </w:t>
      </w:r>
      <w:r w:rsidRPr="00BB3E8D">
        <w:rPr>
          <w:rFonts w:ascii="Times New Roman" w:eastAsia="Times New Roman" w:hAnsi="Times New Roman" w:cs="Times New Roman"/>
          <w:color w:val="0000FF"/>
          <w:sz w:val="16"/>
          <w:szCs w:val="16"/>
          <w:u w:val="single"/>
          <w:lang w:eastAsia="ru-RU"/>
        </w:rPr>
        <w:t>Состав и порядок</w:t>
      </w:r>
      <w:r w:rsidRPr="00BB3E8D">
        <w:rPr>
          <w:rFonts w:ascii="Times New Roman" w:eastAsia="Times New Roman" w:hAnsi="Times New Roman" w:cs="Times New Roman"/>
          <w:sz w:val="16"/>
          <w:szCs w:val="16"/>
          <w:lang w:eastAsia="ru-RU"/>
        </w:rPr>
        <w:t xml:space="preserve"> предоставления таких сведений устанавливаются Правительством Российской Федерации.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18.07.2011 N 242-ФЗ)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3.1. Организаторы азартных игр в букмекерских конторах или тотализаторах представляют информацию о вступлении в члены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и прекращении соответствующего членства в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в течение пяти дней с даты вступления в члены саморегулируемой организации организаторов азартных игр соответствующего вида либо прекращения соответствующего членства.</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3.1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Организатор азартных игр обязан обеспечивать личную безопасность участников азартных игр, иных посетителей игорного заведения, работников организатора азартных игр во время их нахождения в игорном заведении.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5. Организатор азартных игр обязан соблюдать установленные Правительством Российской Федерации в соответствии с настоящим Федеральным законом </w:t>
      </w:r>
      <w:r w:rsidRPr="00BB3E8D">
        <w:rPr>
          <w:rFonts w:ascii="Times New Roman" w:eastAsia="Times New Roman" w:hAnsi="Times New Roman" w:cs="Times New Roman"/>
          <w:color w:val="0000FF"/>
          <w:sz w:val="16"/>
          <w:szCs w:val="16"/>
          <w:u w:val="single"/>
          <w:lang w:eastAsia="ru-RU"/>
        </w:rPr>
        <w:t>правила</w:t>
      </w:r>
      <w:r w:rsidRPr="00BB3E8D">
        <w:rPr>
          <w:rFonts w:ascii="Times New Roman" w:eastAsia="Times New Roman" w:hAnsi="Times New Roman" w:cs="Times New Roman"/>
          <w:sz w:val="16"/>
          <w:szCs w:val="16"/>
          <w:lang w:eastAsia="ru-RU"/>
        </w:rPr>
        <w:t xml:space="preserve"> совершения операций с денежными средствами при организации и проведении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Стоимость чистых активов организатора азартных игр в течение всего периода осуществления деятельности по организации и проведению азартных игр не может быть менее: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600 миллионов рублей - для организаторов азартных игр в казино и залах игровых автоматов;</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1 миллиард рублей - для организаторов азартных игр в букмекерских конторах и тотализаторах.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22.04.2010 N 64-ФЗ)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7. Для целей настоящего Федерального закона </w:t>
      </w:r>
      <w:r w:rsidRPr="00BB3E8D">
        <w:rPr>
          <w:rFonts w:ascii="Times New Roman" w:eastAsia="Times New Roman" w:hAnsi="Times New Roman" w:cs="Times New Roman"/>
          <w:color w:val="0000FF"/>
          <w:sz w:val="16"/>
          <w:szCs w:val="16"/>
          <w:u w:val="single"/>
          <w:lang w:eastAsia="ru-RU"/>
        </w:rPr>
        <w:t>порядок</w:t>
      </w:r>
      <w:r w:rsidRPr="00BB3E8D">
        <w:rPr>
          <w:rFonts w:ascii="Times New Roman" w:eastAsia="Times New Roman" w:hAnsi="Times New Roman" w:cs="Times New Roman"/>
          <w:sz w:val="16"/>
          <w:szCs w:val="16"/>
          <w:lang w:eastAsia="ru-RU"/>
        </w:rPr>
        <w:t xml:space="preserve"> расчета стоимости чистых активов организаторов азартных игр устанавливается уполномоченным Правительством Российской Федерации федеральным органом исполнительной власти.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8. Утратил силу. - Федеральный </w:t>
      </w:r>
      <w:r w:rsidRPr="00BB3E8D">
        <w:rPr>
          <w:rFonts w:ascii="Times New Roman" w:eastAsia="Times New Roman" w:hAnsi="Times New Roman" w:cs="Times New Roman"/>
          <w:color w:val="0000FF"/>
          <w:sz w:val="16"/>
          <w:szCs w:val="16"/>
          <w:u w:val="single"/>
          <w:lang w:eastAsia="ru-RU"/>
        </w:rPr>
        <w:t>закон</w:t>
      </w:r>
      <w:r w:rsidRPr="00BB3E8D">
        <w:rPr>
          <w:rFonts w:ascii="Times New Roman" w:eastAsia="Times New Roman" w:hAnsi="Times New Roman" w:cs="Times New Roman"/>
          <w:sz w:val="16"/>
          <w:szCs w:val="16"/>
          <w:lang w:eastAsia="ru-RU"/>
        </w:rPr>
        <w:t xml:space="preserve"> от 22.04.2010 N 64-ФЗ.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9. Минимальный размер уставного капитала организатора азартных игр в букмекерской конторе или тотализаторе устанавливается в сумме 100 миллионов рублей. В оплату такого уставного капитала могут быть внесены только денежные средства, за исключением случаев, </w:t>
      </w:r>
      <w:r w:rsidRPr="00BB3E8D">
        <w:rPr>
          <w:rFonts w:ascii="Times New Roman" w:eastAsia="Times New Roman" w:hAnsi="Times New Roman" w:cs="Times New Roman"/>
          <w:sz w:val="16"/>
          <w:szCs w:val="16"/>
          <w:lang w:eastAsia="ru-RU"/>
        </w:rPr>
        <w:lastRenderedPageBreak/>
        <w:t xml:space="preserve">если организатором азартных игр выступает созданное в соответствии с указом Президента Российской Федерации акционерное общество, которое объединяет ипподромы Российской Федерации и одним из приоритетных направлений деятельности которого является развитие национальной коневодческой индустрии. Для формирования такого уставного капитала не могут быть использованы заемные денежные средства. </w:t>
      </w:r>
      <w:r w:rsidRPr="00BB3E8D">
        <w:rPr>
          <w:rFonts w:ascii="Times New Roman" w:eastAsia="Times New Roman" w:hAnsi="Times New Roman" w:cs="Times New Roman"/>
          <w:color w:val="0000FF"/>
          <w:sz w:val="16"/>
          <w:szCs w:val="16"/>
          <w:u w:val="single"/>
          <w:lang w:eastAsia="ru-RU"/>
        </w:rPr>
        <w:t>Порядок</w:t>
      </w:r>
      <w:r w:rsidRPr="00BB3E8D">
        <w:rPr>
          <w:rFonts w:ascii="Times New Roman" w:eastAsia="Times New Roman" w:hAnsi="Times New Roman" w:cs="Times New Roman"/>
          <w:sz w:val="16"/>
          <w:szCs w:val="16"/>
          <w:lang w:eastAsia="ru-RU"/>
        </w:rPr>
        <w:t xml:space="preserve"> подтверждения источников происхождения денежных средств, вносимых в оплату такого уставного капитала, устанавливается Правительством Российской Федерации.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9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22.04.2010 N 64-ФЗ,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10. В целях защиты прав и законных интересов участников азартных игр осуществление деятельности по организации и проведению азартных игр в букмекерской конторе допускается только при наличии у организатора азартных игр в букмекерской конторе банковской гарантии исполнения обязательств перед участниками азартных игр. Гарантом, предоставившим банковскую гарантию, может быть только банк. Срок действия банковской гарантии не может быть менее чем пять лет. Банковская гарантия продлевается или переоформляется в течение всего срока действия имеющейся у организатора азартных игр в букмекерской конторе лицензии на осуществление указанной деятельности и не может быть отозвана, в этих случаях банковская гарантия на соответствующий срок ее действия должна быть получена организатором азартных игр в букмекерской конторе на день, следующий после окончания срока действия договора о предоставлении банковской гарантии. Размер банковской гарантии определяется в соответствующем договоре и не может быть менее чем 500 миллионов рублей.</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10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11. Организатор азартных игр обязан предоставлять ежегодно уполномоченному Правительством Российской Федерации федеральному органу исполнительной власти сведения о лицах, которые имеют голосующие акции или долю в уставном капитале этого организатора азартных игр в размере не менее 10 процентов и соответственно прямо и (или) косвенно могут оказывать существенное влияние на решение вопросов, отнесенных к компетенции общего собрания учредителей (участников) этого организатора азартных игр, а также документы, подтверждающие указанные сведения. Состав и порядок предоставления указанных сведений и документов устанавливаются Правительством Российской Федерации.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11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22.04.2010 N 64-ФЗ)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12. Бухгалтерская (финансовая) отчетность организатора азартных игр подлежит обязательной ежегодной аудиторской проверке.</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12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22.04.2010 N 64-ФЗ)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13. Сведения и документы, указанные в </w:t>
      </w:r>
      <w:r w:rsidRPr="00BB3E8D">
        <w:rPr>
          <w:rFonts w:ascii="Times New Roman" w:eastAsia="Times New Roman" w:hAnsi="Times New Roman" w:cs="Times New Roman"/>
          <w:color w:val="0000FF"/>
          <w:sz w:val="16"/>
          <w:szCs w:val="16"/>
          <w:u w:val="single"/>
          <w:lang w:eastAsia="ru-RU"/>
        </w:rPr>
        <w:t>части 11</w:t>
      </w:r>
      <w:r w:rsidRPr="00BB3E8D">
        <w:rPr>
          <w:rFonts w:ascii="Times New Roman" w:eastAsia="Times New Roman" w:hAnsi="Times New Roman" w:cs="Times New Roman"/>
          <w:sz w:val="16"/>
          <w:szCs w:val="16"/>
          <w:lang w:eastAsia="ru-RU"/>
        </w:rPr>
        <w:t xml:space="preserve"> настоящей статьи, заключение аудитора по результатам ежегодной аудиторской проверки являются обязательными приложениями к бухгалтерской (финансовой) отчетности организатора азартных игр.</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13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22.04.2010 N 64-ФЗ)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14. Проверку достоверности сведений, предоставление которых предусмотрено </w:t>
      </w:r>
      <w:r w:rsidRPr="00BB3E8D">
        <w:rPr>
          <w:rFonts w:ascii="Times New Roman" w:eastAsia="Times New Roman" w:hAnsi="Times New Roman" w:cs="Times New Roman"/>
          <w:color w:val="0000FF"/>
          <w:sz w:val="16"/>
          <w:szCs w:val="16"/>
          <w:u w:val="single"/>
          <w:lang w:eastAsia="ru-RU"/>
        </w:rPr>
        <w:t>частями 3</w:t>
      </w:r>
      <w:r w:rsidRPr="00BB3E8D">
        <w:rPr>
          <w:rFonts w:ascii="Times New Roman" w:eastAsia="Times New Roman" w:hAnsi="Times New Roman" w:cs="Times New Roman"/>
          <w:sz w:val="16"/>
          <w:szCs w:val="16"/>
          <w:lang w:eastAsia="ru-RU"/>
        </w:rPr>
        <w:t xml:space="preserve">, </w:t>
      </w:r>
      <w:r w:rsidRPr="00BB3E8D">
        <w:rPr>
          <w:rFonts w:ascii="Times New Roman" w:eastAsia="Times New Roman" w:hAnsi="Times New Roman" w:cs="Times New Roman"/>
          <w:color w:val="0000FF"/>
          <w:sz w:val="16"/>
          <w:szCs w:val="16"/>
          <w:u w:val="single"/>
          <w:lang w:eastAsia="ru-RU"/>
        </w:rPr>
        <w:t>9</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11</w:t>
      </w:r>
      <w:r w:rsidRPr="00BB3E8D">
        <w:rPr>
          <w:rFonts w:ascii="Times New Roman" w:eastAsia="Times New Roman" w:hAnsi="Times New Roman" w:cs="Times New Roman"/>
          <w:sz w:val="16"/>
          <w:szCs w:val="16"/>
          <w:lang w:eastAsia="ru-RU"/>
        </w:rPr>
        <w:t xml:space="preserve"> настоящей статьи, проводит уполномоченный Правительством Российской Федерации федеральный орган исполнительной власти. Организатор азартных игр несет ответственность за полноту и достоверность указанных сведений в соответствии с законодательством Российской Федерации.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14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22.04.2010 N 64-ФЗ)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14.1. Технические и иные средства организатора азартных игр в букмекерских конторах или тотализаторах, с использованием которых осуществляется деятельность по учету ставок и интерактивных ставок, расчету сумм подлежащих выплате выигрышей и представлению информации о рассчитанных выигрышах, должны размещаться в процессинговых центрах букмекерских контор и процессинговых центрах тотализаторов на территории Российской Федерации и находиться в собственности организатора азартных игр.</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14.1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15. Правительством Российской Федерации могут быть установлены </w:t>
      </w:r>
      <w:r w:rsidRPr="00BB3E8D">
        <w:rPr>
          <w:rFonts w:ascii="Times New Roman" w:eastAsia="Times New Roman" w:hAnsi="Times New Roman" w:cs="Times New Roman"/>
          <w:color w:val="0000FF"/>
          <w:sz w:val="16"/>
          <w:szCs w:val="16"/>
          <w:u w:val="single"/>
          <w:lang w:eastAsia="ru-RU"/>
        </w:rPr>
        <w:t>дополнительные требования</w:t>
      </w:r>
      <w:r w:rsidRPr="00BB3E8D">
        <w:rPr>
          <w:rFonts w:ascii="Times New Roman" w:eastAsia="Times New Roman" w:hAnsi="Times New Roman" w:cs="Times New Roman"/>
          <w:sz w:val="16"/>
          <w:szCs w:val="16"/>
          <w:lang w:eastAsia="ru-RU"/>
        </w:rPr>
        <w:t xml:space="preserve"> к организаторам азартных игр, а также к отчетности организаторов азартных игр, ее составу и порядку представления.</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15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22.04.2010 N 64-ФЗ)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6.1. Требования к организаторам азартных игр в букмекерских конторах и тотализаторах при заключении пари на официальные спортивные соревнования и проведении других азартных игр, требования к центру учета переводов интерактивных ставок букмекерских контор или тотализаторов при осуществлении деятельности по приему, учету и переводу интерактивных ставок</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23.07.2013 N 198-ФЗ)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Организаторы азартных игр в букмекерских конторах и тотализаторах в целях выявления противоправного влияния на результаты официальных спортивных соревнований обязаны:</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 принимать ставки, интерактивные ставки на официальные спортивные соревнования и выплачивать соответствующие выигрыши, суммы которых превышают размер дохода, не подлежащего налогообложению в соответствии с </w:t>
      </w:r>
      <w:r w:rsidRPr="00BB3E8D">
        <w:rPr>
          <w:rFonts w:ascii="Times New Roman" w:eastAsia="Times New Roman" w:hAnsi="Times New Roman" w:cs="Times New Roman"/>
          <w:color w:val="0000FF"/>
          <w:sz w:val="16"/>
          <w:szCs w:val="16"/>
          <w:u w:val="single"/>
          <w:lang w:eastAsia="ru-RU"/>
        </w:rPr>
        <w:t>частью второй</w:t>
      </w:r>
      <w:r w:rsidRPr="00BB3E8D">
        <w:rPr>
          <w:rFonts w:ascii="Times New Roman" w:eastAsia="Times New Roman" w:hAnsi="Times New Roman" w:cs="Times New Roman"/>
          <w:sz w:val="16"/>
          <w:szCs w:val="16"/>
          <w:lang w:eastAsia="ru-RU"/>
        </w:rPr>
        <w:t xml:space="preserve"> Налогового кодекса Российской Федерации,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1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информировать в порядке, установленном Правительством Российской Федерации, и с соблюдением законодательства Российской Федерации в области персональных данных и законодательства Российской Федерации о коммерческой тайне общероссийскую спортивную федерацию по соответствующему виду спорта и уполномоченный федеральный орган исполнительной власти, осуществляющий государственный надзор в области организации и проведения азартных игр, о выигрышах, выплаченных или подлежащих выплате по результатам пари, заключенных на официальные спортивные соревнования, завершившиеся с наименее вероятным результатом или исходом. Такая информация должна быть представлена не позднее тридцати дней со дня проведения соответствующего официального спортивного соревнования;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 вести в букмекерских конторах и тотализаторах учет участников азартных игр, от которых принимаются ставки, интерактивные ставки на официальные спортивные соревнования, и представлять с соблюдением законодательства Российской Федерации в области персональных данных данные такого учета в уполномоченный федеральный орган исполнительной власти, осуществляющий государственный надзор в области организации и проведения азартных игр, при осуществлении им этого надзора. </w:t>
      </w:r>
      <w:r w:rsidRPr="00BB3E8D">
        <w:rPr>
          <w:rFonts w:ascii="Times New Roman" w:eastAsia="Times New Roman" w:hAnsi="Times New Roman" w:cs="Times New Roman"/>
          <w:color w:val="0000FF"/>
          <w:sz w:val="16"/>
          <w:szCs w:val="16"/>
          <w:u w:val="single"/>
          <w:lang w:eastAsia="ru-RU"/>
        </w:rPr>
        <w:t>Порядок</w:t>
      </w:r>
      <w:r w:rsidRPr="00BB3E8D">
        <w:rPr>
          <w:rFonts w:ascii="Times New Roman" w:eastAsia="Times New Roman" w:hAnsi="Times New Roman" w:cs="Times New Roman"/>
          <w:sz w:val="16"/>
          <w:szCs w:val="16"/>
          <w:lang w:eastAsia="ru-RU"/>
        </w:rPr>
        <w:t xml:space="preserve"> ведения учета и представления данных, их объем и содержание устанавливаются Правительством Российской Федерации.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 В случае выявления уполномоченным федеральным органом исполнительной власти, осуществляющим государственный надзор в области организации и проведения азартных игр, фактов представления организатором азартных игр недостоверной информации, предусмотренной </w:t>
      </w:r>
      <w:r w:rsidRPr="00BB3E8D">
        <w:rPr>
          <w:rFonts w:ascii="Times New Roman" w:eastAsia="Times New Roman" w:hAnsi="Times New Roman" w:cs="Times New Roman"/>
          <w:color w:val="0000FF"/>
          <w:sz w:val="16"/>
          <w:szCs w:val="16"/>
          <w:u w:val="single"/>
          <w:lang w:eastAsia="ru-RU"/>
        </w:rPr>
        <w:t>пунктом 2 части 1</w:t>
      </w:r>
      <w:r w:rsidRPr="00BB3E8D">
        <w:rPr>
          <w:rFonts w:ascii="Times New Roman" w:eastAsia="Times New Roman" w:hAnsi="Times New Roman" w:cs="Times New Roman"/>
          <w:sz w:val="16"/>
          <w:szCs w:val="16"/>
          <w:lang w:eastAsia="ru-RU"/>
        </w:rPr>
        <w:t xml:space="preserve"> настоящей статьи, указанный орган уведомляет об этом общероссийскую спортивную федерацию по соответствующему виду спорта. </w:t>
      </w:r>
      <w:r w:rsidRPr="00BB3E8D">
        <w:rPr>
          <w:rFonts w:ascii="Times New Roman" w:eastAsia="Times New Roman" w:hAnsi="Times New Roman" w:cs="Times New Roman"/>
          <w:color w:val="0000FF"/>
          <w:sz w:val="16"/>
          <w:szCs w:val="16"/>
          <w:u w:val="single"/>
          <w:lang w:eastAsia="ru-RU"/>
        </w:rPr>
        <w:t>Порядок</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форма</w:t>
      </w:r>
      <w:r w:rsidRPr="00BB3E8D">
        <w:rPr>
          <w:rFonts w:ascii="Times New Roman" w:eastAsia="Times New Roman" w:hAnsi="Times New Roman" w:cs="Times New Roman"/>
          <w:sz w:val="16"/>
          <w:szCs w:val="16"/>
          <w:lang w:eastAsia="ru-RU"/>
        </w:rPr>
        <w:t xml:space="preserve"> уведомления определяются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2.1. Центр учета переводов интерактивных ставок букмекерских контор или тотализаторов осуществляет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с проведением идентификации участника азартной игры в соответствии с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обеспечивающей установление возраста такого участника азартной игры.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2.1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2.2. Центр учета переводов интерактивных ставок букмекерских контор или тотализаторов при осуществлении деятельности по приему от физических лиц денежных средств, в том числе электронных денежных средств, обеспечивает учет и предоставление с соблюдением законодательства Российской Федерации в области персональных данных организаторам азартных игр в букмекерских </w:t>
      </w:r>
      <w:r w:rsidRPr="00BB3E8D">
        <w:rPr>
          <w:rFonts w:ascii="Times New Roman" w:eastAsia="Times New Roman" w:hAnsi="Times New Roman" w:cs="Times New Roman"/>
          <w:sz w:val="16"/>
          <w:szCs w:val="16"/>
          <w:lang w:eastAsia="ru-RU"/>
        </w:rPr>
        <w:lastRenderedPageBreak/>
        <w:t>конторах или тотализаторах информации об участниках азартных игр, интерактивных ставках, принятых от участников данных видов азартных игр.</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2.2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 Предусмотренное </w:t>
      </w:r>
      <w:r w:rsidRPr="00BB3E8D">
        <w:rPr>
          <w:rFonts w:ascii="Times New Roman" w:eastAsia="Times New Roman" w:hAnsi="Times New Roman" w:cs="Times New Roman"/>
          <w:color w:val="0000FF"/>
          <w:sz w:val="16"/>
          <w:szCs w:val="16"/>
          <w:u w:val="single"/>
          <w:lang w:eastAsia="ru-RU"/>
        </w:rPr>
        <w:t>пунктом 1 части 1</w:t>
      </w:r>
      <w:r w:rsidRPr="00BB3E8D">
        <w:rPr>
          <w:rFonts w:ascii="Times New Roman" w:eastAsia="Times New Roman" w:hAnsi="Times New Roman" w:cs="Times New Roman"/>
          <w:sz w:val="16"/>
          <w:szCs w:val="16"/>
          <w:lang w:eastAsia="ru-RU"/>
        </w:rPr>
        <w:t xml:space="preserve"> настоящей статьи требование о приеме ставок, интерактивных ставок и выплате выигрышей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применяется при проведении любых азартных игр в букмекерских конторах и тотализаторах с соблюдением при обработке соответствующих персональных данных законодательства Российской Федерации в области персональных данных.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7. Требования к посетителям игорного заведения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Посетителями игорного заведения являются находящиеся в игорном заведении участники азартных игр, а также иные лица, доступ которых в игорные заведения не запрещен в соответствии с настоящим Федеральным законом.</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Посетителями игорного заведения не могут являться лица, не достигшие возраста восемнадцати лет.</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Организатор азартных игр вправе самостоятельно устанавливать правила посещения игорного заведения, не противоречащие настоящему Федеральному закону.</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По требованию работников организатора азартных игр посетитель игорного заведения, нарушающий установленные в соответствии с настоящим Федеральным законом правила посещения игорного заведения, обязан немедленно покинуть игорное заведение.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8. Общие требования к игорному заведению</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Игорное заведение должно быть разделено на зону обслуживания участников азартных игр и служебную зону игорного заведения.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При входе в игорное заведение, его филиал, пункт приема ставок букмекерской конторы или тотализатора либо иное место осуществления деятельности по организации и проведению азартных игр организатор азартных игр размещает и по первому требованию посетителя игорного заведения предоставляет информацию о фирменном наименовании организатора азартных игр, об адресе и о часах работы соответственно игорного заведения, его филиала, пункта приема ставок букмекерской конторы или тотализатора, иного места осуществления деятельности по организации и проведению азартных игр. В доступном для посетителей игорного заведения месте должны быть размещены текст настоящего Федерального закона, установленные организатором азартных игр правила азартных игр, правила посещения игорного заведения, правила приема ставок и выплаты выигрышей, разрешение на осуществление деятельности по организации и проведению азартных игр в игорной зоне или его копия либо лицензия на осуществление деятельности по организации и проведению азартных игр в букмекерских конторах и тотализаторах или ее копия, приложение к этой лицензии или его копия, а также решение о приеме в члены саморегулируемой организации организаторов азартных игр в букмекерских конторах и (или) саморегулируемой организации организаторов азартных игр в тотализаторах либо иной подтверждающий соответствующее членство документ или его копия.</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2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Организация и проведение азартных игр могут осуществляться исключительно работниками организатора азартных игр. Работниками организатора азартных игр не могут являться лица, не достигшие возраста восемнадцати лет.</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Используемое в игорном заведении игровое оборудование должно находиться в собственности организатора азартных игр.</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4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Технически заложенный средний процент выигрыша каждого игрового автомата не может составлять менее чем девяносто процентов.</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В служебной зоне игорного заведения (за исключением пунктов приема ставок букмекерской конторы и тотализатора) должны находиться помещение для отдыха работников организатора азартных игр, специально оборудованное помещение для приема, выдачи и временного хранения денежных средств, помещение для организации службы безопасности игорного заведения.</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6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7. Игорное заведение не может быть расположено в здании, строении, сооружении, в которых расположены физкультурно-оздоровительные и спортивные учреждения (за исключением букмекерских контор, тотализаторов, их пунктов приема ставок).</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7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8. Выигрыши, суммы которых превышают размер дохода, не подлежащего налогообложению в соответствии с </w:t>
      </w:r>
      <w:r w:rsidRPr="00BB3E8D">
        <w:rPr>
          <w:rFonts w:ascii="Times New Roman" w:eastAsia="Times New Roman" w:hAnsi="Times New Roman" w:cs="Times New Roman"/>
          <w:color w:val="0000FF"/>
          <w:sz w:val="16"/>
          <w:szCs w:val="16"/>
          <w:u w:val="single"/>
          <w:lang w:eastAsia="ru-RU"/>
        </w:rPr>
        <w:t>частью второй</w:t>
      </w:r>
      <w:r w:rsidRPr="00BB3E8D">
        <w:rPr>
          <w:rFonts w:ascii="Times New Roman" w:eastAsia="Times New Roman" w:hAnsi="Times New Roman" w:cs="Times New Roman"/>
          <w:sz w:val="16"/>
          <w:szCs w:val="16"/>
          <w:lang w:eastAsia="ru-RU"/>
        </w:rPr>
        <w:t xml:space="preserve"> Налогового кодекса Российской Федерации, выплачиваются организатором азартной игры участнику азартной игры при предъявлении участником азартной игры документа, удостоверяющего его личность, или применении иного способа идентификации участника азартной игры, предусмотренного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8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8.1. Требования к казино и залам игровых автоматов</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Казино и зал игровых автоматов могут располагаться только в здании, строении, сооружении, являющихся объектом капитального строительства, занимать указанный объект полностью или располагаться в единой обособленной его части.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Площадь зоны обслуживания участников азартных игр в казино не может быть менее чем восемьсот квадратных метров, и в ней должны находиться касса игорного заведения, гардероб, места для отдыха посетителей игорного заведения и туалет.</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В зоне обслуживания участников азартных игр в казино должно быть установлено не менее чем десять игровых столов, а также могут быть установлены игровые автоматы и могут находиться пункты приема ставок тотализатора и (или) букмекерской конторы.</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4. В случае установки игровых автоматов в зоне обслуживания участников азартных игр в казино на данное игорное заведение распространяются требования, установленные </w:t>
      </w:r>
      <w:r w:rsidRPr="00BB3E8D">
        <w:rPr>
          <w:rFonts w:ascii="Times New Roman" w:eastAsia="Times New Roman" w:hAnsi="Times New Roman" w:cs="Times New Roman"/>
          <w:color w:val="0000FF"/>
          <w:sz w:val="16"/>
          <w:szCs w:val="16"/>
          <w:u w:val="single"/>
          <w:lang w:eastAsia="ru-RU"/>
        </w:rPr>
        <w:t>частью 6</w:t>
      </w:r>
      <w:r w:rsidRPr="00BB3E8D">
        <w:rPr>
          <w:rFonts w:ascii="Times New Roman" w:eastAsia="Times New Roman" w:hAnsi="Times New Roman" w:cs="Times New Roman"/>
          <w:sz w:val="16"/>
          <w:szCs w:val="16"/>
          <w:lang w:eastAsia="ru-RU"/>
        </w:rPr>
        <w:t xml:space="preserve"> настоящей статьи.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Площадь зоны обслуживания участников азартных игр в зале игровых автоматов не может быть менее чем сто квадратных метров, и в ней должны находиться касса игорного заведения и туалет.</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В зоне обслуживания участников азартных игр в зале игровых автоматов должно быть установлено не менее чем пятьдесят игровых автоматов, а также могут находиться пункты приема ставок тотализатора и (или) букмекерской конторы.</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7. В служебной зоне зала игровых автоматов должно находиться специально оборудованное помещение или должно быть установлено оборудование для приема, выдачи и временного хранения денежных средств.</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Глава 2. ИГОРНЫЕ ЗОНЫ</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9. Создание и ликвидация игорных зон</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На территории Российской Федерации создается пять игорных зон. На территории одного субъекта Российской Федерации может быть создано не более одной игорной зоны. В случае, если игорная зона включает в себя части территорий нескольких субъектов Российской Федерации, на территориях соответствующих субъектов Российской Федерации не могут быть созданы другие игорные зоны.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Игорные зоны создаются на территориях следующих субъектов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Республика Крым;</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Алтайский край;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lastRenderedPageBreak/>
        <w:t>Краснодарский край;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Приморский край;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Калининградская область.</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2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 </w:t>
      </w:r>
      <w:r w:rsidRPr="00BB3E8D">
        <w:rPr>
          <w:rFonts w:ascii="Times New Roman" w:eastAsia="Times New Roman" w:hAnsi="Times New Roman" w:cs="Times New Roman"/>
          <w:color w:val="0000FF"/>
          <w:sz w:val="16"/>
          <w:szCs w:val="16"/>
          <w:u w:val="single"/>
          <w:lang w:eastAsia="ru-RU"/>
        </w:rPr>
        <w:t>Порядок</w:t>
      </w:r>
      <w:r w:rsidRPr="00BB3E8D">
        <w:rPr>
          <w:rFonts w:ascii="Times New Roman" w:eastAsia="Times New Roman" w:hAnsi="Times New Roman" w:cs="Times New Roman"/>
          <w:sz w:val="16"/>
          <w:szCs w:val="16"/>
          <w:lang w:eastAsia="ru-RU"/>
        </w:rPr>
        <w:t xml:space="preserve"> создания и ликвидации игорных зон, а также их наименования, границы, иные параметры игорных зон определяются Правительством Российской Федерации, если иное не предусмотрено </w:t>
      </w:r>
      <w:r w:rsidRPr="00BB3E8D">
        <w:rPr>
          <w:rFonts w:ascii="Times New Roman" w:eastAsia="Times New Roman" w:hAnsi="Times New Roman" w:cs="Times New Roman"/>
          <w:color w:val="0000FF"/>
          <w:sz w:val="16"/>
          <w:szCs w:val="16"/>
          <w:u w:val="single"/>
          <w:lang w:eastAsia="ru-RU"/>
        </w:rPr>
        <w:t>частями 4.1</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4.2</w:t>
      </w:r>
      <w:r w:rsidRPr="00BB3E8D">
        <w:rPr>
          <w:rFonts w:ascii="Times New Roman" w:eastAsia="Times New Roman" w:hAnsi="Times New Roman" w:cs="Times New Roman"/>
          <w:sz w:val="16"/>
          <w:szCs w:val="16"/>
          <w:lang w:eastAsia="ru-RU"/>
        </w:rPr>
        <w:t xml:space="preserve"> настоящей статьи.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4. Решения о создании и ликвидации игорных зон принимаются Правительством Российской Федерации по согласованию с органами государственной власти субъектов Российской Федерации. При этом границы игорных зон определяются на основании предложений органов государственной власти субъектов Российской Федерации, вносимых в Правительство Российской Федерации, если иное не предусмотрено </w:t>
      </w:r>
      <w:r w:rsidRPr="00BB3E8D">
        <w:rPr>
          <w:rFonts w:ascii="Times New Roman" w:eastAsia="Times New Roman" w:hAnsi="Times New Roman" w:cs="Times New Roman"/>
          <w:color w:val="0000FF"/>
          <w:sz w:val="16"/>
          <w:szCs w:val="16"/>
          <w:u w:val="single"/>
          <w:lang w:eastAsia="ru-RU"/>
        </w:rPr>
        <w:t>частями 4.1</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4.2</w:t>
      </w:r>
      <w:r w:rsidRPr="00BB3E8D">
        <w:rPr>
          <w:rFonts w:ascii="Times New Roman" w:eastAsia="Times New Roman" w:hAnsi="Times New Roman" w:cs="Times New Roman"/>
          <w:sz w:val="16"/>
          <w:szCs w:val="16"/>
          <w:lang w:eastAsia="ru-RU"/>
        </w:rPr>
        <w:t xml:space="preserve"> настоящей статьи.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4.1. Границы игорной зоны на территории Республики Крым определяются органами исполнительной власти Республики Крым.</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4.1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4.2. Границы игорной зоны на территории Краснодарского края определяются Правительством Российской Федерации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на основании предложений органов государственной власти Краснодарского края, внесенных в Правительство Российской Федерации.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4.2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Предложения о границах игорных зон, включающих в себя части территорий нескольких субъектов Российской Федерации, вносятся в Правительство Российской Федерации на основании соглашения, заключаемого между органами государственной власти соответствующих субъектов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Порядок управления игорными зонами, включающими в себя части территорий нескольких субъектов Российской Федерации, порядок реализации в таких игорных зонах прав, предоставленных субъектам Российской Федерации законодательством Российской Федерации о налогах и сборах, порядок распределения между бюджетами соответствующих субъектов Российской Федерации средств от уплаты налогов и сборов, подлежащих зачислению в бюджеты субъектов Российской Федерации, определяются на основании соглашения, заключаемого между органами государственной власти соответствующих субъектов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7. Срок действия игорных зон не может быть ограничен. Решение о ликвидации игорной зоны не может быть принято Правительством Российской Федерации до истечения десяти лет со дня ее создания.</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7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01.05.2016 N 121-ФЗ)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8. В решении о создании игорной зоны могут быть установлены дополнительные требования к отдельным видам игорных заведений и иные ограничения.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10. Управление игорными зонами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Управление игорными зонами осуществляется уполномоченными органами государственной власти субъекта Российской Федерации (далее - органы управления игорными зонами). Органы управления игорными зонами, включающими в себя части территорий нескольких субъектов Российской Федерации, определяются на основании соглашения между органами государственной власти соответствующих субъектов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Органы управления игорными зонами: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осуществляют функции по организации взаимодействия органов государственной власти, органов местного самоуправления, организаторов азартных игр, а также иных лиц в связи с осуществлением государственного регулирования деятельности по организации и проведению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в порядке, установленном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 передают организаторам азартных игр, а также иным лицам в собственность или аренду земельные участки, расположенные в игорных зонах;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осуществляют функции по выдаче, переоформлению и аннулированию разрешений на осуществление деятельности по организации и проведению азартных игр в игорной зоне;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осуществляют региональный государственный надзор в области организации и проведения азартных игр.</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4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18.07.2011 N 242-ФЗ)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Организаторы азартных игр в игорных зонах вправе создавать некоммерческие организации, задачей которых является организация взаимодействия организаторов азартных игр и органов управления одной игорной зоной, а также иных органов государственной власти и органов местного самоуправления (далее - объединения организаторов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Часть функций органов управления игорными зонами может быть передана объединению организаторов азартных игр на основании соглашения, порядок заключения которого устанавливается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5. В целях осуществления 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 органы управления игорными зонами обязаны предоставлять отчетность, </w:t>
      </w:r>
      <w:r w:rsidRPr="00BB3E8D">
        <w:rPr>
          <w:rFonts w:ascii="Times New Roman" w:eastAsia="Times New Roman" w:hAnsi="Times New Roman" w:cs="Times New Roman"/>
          <w:color w:val="0000FF"/>
          <w:sz w:val="16"/>
          <w:szCs w:val="16"/>
          <w:u w:val="single"/>
          <w:lang w:eastAsia="ru-RU"/>
        </w:rPr>
        <w:t>содержание</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порядок</w:t>
      </w:r>
      <w:r w:rsidRPr="00BB3E8D">
        <w:rPr>
          <w:rFonts w:ascii="Times New Roman" w:eastAsia="Times New Roman" w:hAnsi="Times New Roman" w:cs="Times New Roman"/>
          <w:sz w:val="16"/>
          <w:szCs w:val="16"/>
          <w:lang w:eastAsia="ru-RU"/>
        </w:rPr>
        <w:t xml:space="preserve"> предоставления которой устанавливаются уполномоченным Правительством Российской Федерации федеральным органом исполнительной власти.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18.07.2011 N 242-ФЗ)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11. Критерии отбора земельных участков для создания игорных зон</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На момент создания игорной зоны земельные участки, ее образующие, не должны находиться во владении и (или) в пользовании граждан, юридических лиц, за исключением земельных участков, которые предоставлены для размещения и использования объектов инженерной инфраструктуры и на которых размещены такие объекты, а также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На момент создания игорной зоны на земельных участках, ее образующих, могут быть расположены только объекты, находящиеся в государственной собственности, в муниципальной собственности и не находящиеся во владении и (или) в пользовании граждан, юридических лиц, за исключением объектов инженерной и транспортной инфраструктур, а также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12. Использование земельных участков игорных зон</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Земельные участки игорных зон и (или) расположенные на них объекты (за исключением объектов инженерной и транспортной инфраструктур, а также земельных участков, на которых размещены такие объекты) передаются в собственность или аренду организаторам азартных игр либо иным лицам.</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Передача организаторам азартных игр либо иным лицам в собственность или аренду земельных участков, расположенных в игорных зонах, осуществляется органами управления игорными зонами в порядке, определенном законодательством субъекта Российской Федерации (соглашением между органами государственной власти соответствующих субъектов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lastRenderedPageBreak/>
        <w:t xml:space="preserve">3. В игорной зоне, создаваемой в соответствии с </w:t>
      </w:r>
      <w:r w:rsidRPr="00BB3E8D">
        <w:rPr>
          <w:rFonts w:ascii="Times New Roman" w:eastAsia="Times New Roman" w:hAnsi="Times New Roman" w:cs="Times New Roman"/>
          <w:color w:val="0000FF"/>
          <w:sz w:val="16"/>
          <w:szCs w:val="16"/>
          <w:u w:val="single"/>
          <w:lang w:eastAsia="ru-RU"/>
        </w:rPr>
        <w:t>частью 4.2 статьи 9</w:t>
      </w:r>
      <w:r w:rsidRPr="00BB3E8D">
        <w:rPr>
          <w:rFonts w:ascii="Times New Roman" w:eastAsia="Times New Roman" w:hAnsi="Times New Roman" w:cs="Times New Roman"/>
          <w:sz w:val="16"/>
          <w:szCs w:val="16"/>
          <w:lang w:eastAsia="ru-RU"/>
        </w:rPr>
        <w:t xml:space="preserve"> настоящего Федерального закона в границах земельных участков,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права и обязанности арендодателя указанных земельных участков переходят к органам управления игорными зонами со дня принятия Правительством Российской Федерации решения о создании такой зоны.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Соответствующий деятельности по организации и проведению азартных игр вид разрешенного использования земельных участков, ранее предоставленных для размещения олимпийских объектов федерального значения, финансирование и строительство которых не осуществлялись за счет бюджетных ассигнований или средств Корпорации, считается установленным со дня принятия Правительством Российской Федерации решения о создании игорной зоны в границах земельных участков, предоставленных для размещения соответствующих олимпийских объектов.</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4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22.07.2014 N 278-ФЗ)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13. Разрешение на осуществление деятельности по организации и проведению азартных игр в игорной зоне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Разрешение на осуществление деятельности по организации и проведению азартных игр в игорной зоне предоставляет организатору азартных игр право осуществлять деятельность по организации и проведению азартных игр в игорной зоне при соблюдении требований и ограничений, установленных решением о создании соответствующей игорной зоны.</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Разрешение на осуществление деятельности по организации и проведению азартных игр в игорной зоне выдается органом управления игорной зоной в соответствии с законодательством субъекта Российской Федерации (соглашением между органами государственной власти соответствующих субъектов Российской Федерации), в том числе путем проведения аукциона или конкурса.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Разрешение на осуществление деятельности по организации и проведению азартных игр в игорной зоне выдается без ограничения срока действия и действует до момента ликвидации соответствующей игорной зоны. В разрешении на осуществление деятельности по организации и проведению азартных игр в игорной зоне должна быть указана дата, с которой организатор азартных игр имеет право приступить к осуществлению соответствующей деятельности, а также наименование игорной зоны, в которой такая деятельность может осуществляться.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Разрешение на осуществление деятельности по организации и проведению азартных игр в игорной зоне может быть аннулировано органом управления игорной зоной в следующих случаях: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 ликвидация в установленном </w:t>
      </w:r>
      <w:r w:rsidRPr="00BB3E8D">
        <w:rPr>
          <w:rFonts w:ascii="Times New Roman" w:eastAsia="Times New Roman" w:hAnsi="Times New Roman" w:cs="Times New Roman"/>
          <w:color w:val="0000FF"/>
          <w:sz w:val="16"/>
          <w:szCs w:val="16"/>
          <w:u w:val="single"/>
          <w:lang w:eastAsia="ru-RU"/>
        </w:rPr>
        <w:t>порядке</w:t>
      </w:r>
      <w:r w:rsidRPr="00BB3E8D">
        <w:rPr>
          <w:rFonts w:ascii="Times New Roman" w:eastAsia="Times New Roman" w:hAnsi="Times New Roman" w:cs="Times New Roman"/>
          <w:sz w:val="16"/>
          <w:szCs w:val="16"/>
          <w:lang w:eastAsia="ru-RU"/>
        </w:rPr>
        <w:t xml:space="preserve"> юридического лица, являющегося организатором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несоответствие игорного заведения требованиям, установленным настоящим Федеральным законом;</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нарушение организатором азартных игр установленного настоящим Федеральным законом порядка осуществления деятельности по организации и проведению азартных игр, в том числе в случае осуществления деятельности по организации и проведению азартных игр вне игорной зоны;</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неоднократное нарушение организатором азартных игр установленного порядка предоставления информации, предусмотренной настоящим Федеральным законом, или выявление фактов недостоверности такой информации;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заявление организатора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В случае, если в течение трех лет с даты получения разрешения на осуществление деятельности по организации и проведению азартных игр в игорной зоне организатор азартных игр не приступил к осуществлению деятельности по организации и проведению азартных игр в соответствующей игорной зоне, данное разрешение аннулируется.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6. Решение об отказе в выдаче, переоформлении или об аннулировании разрешения на осуществление деятельности по организации и проведению азартных игр в игорной зоне может быть обжаловано в установленном </w:t>
      </w:r>
      <w:r w:rsidRPr="00BB3E8D">
        <w:rPr>
          <w:rFonts w:ascii="Times New Roman" w:eastAsia="Times New Roman" w:hAnsi="Times New Roman" w:cs="Times New Roman"/>
          <w:color w:val="0000FF"/>
          <w:sz w:val="16"/>
          <w:szCs w:val="16"/>
          <w:u w:val="single"/>
          <w:lang w:eastAsia="ru-RU"/>
        </w:rPr>
        <w:t>порядке</w:t>
      </w:r>
      <w:r w:rsidRPr="00BB3E8D">
        <w:rPr>
          <w:rFonts w:ascii="Times New Roman" w:eastAsia="Times New Roman" w:hAnsi="Times New Roman" w:cs="Times New Roman"/>
          <w:sz w:val="16"/>
          <w:szCs w:val="16"/>
          <w:lang w:eastAsia="ru-RU"/>
        </w:rPr>
        <w:t xml:space="preserve"> в суд.</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Глава 3. ОРГАНИЗАЦИЯ И ПРОВЕДЕНИЕ АЗАРТНЫХ</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ИГР В БУКМЕКЕРСКИХ КОНТОРАХ И ТОТАЛИЗАТОРАХ</w:t>
      </w:r>
    </w:p>
    <w:p w:rsidR="00D27351" w:rsidRPr="00BB3E8D" w:rsidRDefault="00D27351" w:rsidP="00D27351">
      <w:pPr>
        <w:spacing w:after="0" w:line="240" w:lineRule="auto"/>
        <w:jc w:val="center"/>
        <w:rPr>
          <w:rFonts w:ascii="Times New Roman" w:eastAsia="Times New Roman" w:hAnsi="Times New Roman" w:cs="Times New Roman"/>
          <w:b/>
          <w:bCs/>
          <w:sz w:val="16"/>
          <w:szCs w:val="16"/>
          <w:lang w:eastAsia="ru-RU"/>
        </w:rPr>
      </w:pPr>
      <w:r w:rsidRPr="00BB3E8D">
        <w:rPr>
          <w:rFonts w:ascii="Times New Roman" w:eastAsia="Times New Roman" w:hAnsi="Times New Roman" w:cs="Times New Roman"/>
          <w:b/>
          <w:bCs/>
          <w:sz w:val="16"/>
          <w:szCs w:val="16"/>
          <w:lang w:eastAsia="ru-RU"/>
        </w:rPr>
        <w:t>ВНЕ ИГОРНЫХ ЗОН</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14. Порядок открытия и деятельности букмекерских контор, тотализаторов, пунктов приема ставок букмекерских контор и тотализаторов</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Федеральных законов от 13.06.2011 </w:t>
      </w:r>
      <w:r w:rsidRPr="00BB3E8D">
        <w:rPr>
          <w:rFonts w:ascii="Times New Roman" w:eastAsia="Times New Roman" w:hAnsi="Times New Roman" w:cs="Times New Roman"/>
          <w:color w:val="0000FF"/>
          <w:sz w:val="16"/>
          <w:szCs w:val="16"/>
          <w:lang w:eastAsia="ru-RU"/>
        </w:rPr>
        <w:t>N 133-ФЗ</w:t>
      </w:r>
      <w:r w:rsidRPr="00BB3E8D">
        <w:rPr>
          <w:rFonts w:ascii="Times New Roman" w:eastAsia="Times New Roman" w:hAnsi="Times New Roman" w:cs="Times New Roman"/>
          <w:color w:val="828282"/>
          <w:sz w:val="16"/>
          <w:szCs w:val="16"/>
          <w:lang w:eastAsia="ru-RU"/>
        </w:rPr>
        <w:t xml:space="preserve">, от 21.07.2014 </w:t>
      </w:r>
      <w:r w:rsidRPr="00BB3E8D">
        <w:rPr>
          <w:rFonts w:ascii="Times New Roman" w:eastAsia="Times New Roman" w:hAnsi="Times New Roman" w:cs="Times New Roman"/>
          <w:color w:val="0000FF"/>
          <w:sz w:val="16"/>
          <w:szCs w:val="16"/>
          <w:lang w:eastAsia="ru-RU"/>
        </w:rPr>
        <w:t>N 222-ФЗ</w:t>
      </w:r>
      <w:r w:rsidRPr="00BB3E8D">
        <w:rPr>
          <w:rFonts w:ascii="Times New Roman" w:eastAsia="Times New Roman" w:hAnsi="Times New Roman" w:cs="Times New Roman"/>
          <w:color w:val="828282"/>
          <w:sz w:val="16"/>
          <w:szCs w:val="16"/>
          <w:lang w:eastAsia="ru-RU"/>
        </w:rPr>
        <w:t>)</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Деятельность по организации и проведению азартных игр в букмекерских конторах, тотализаторах, их пунктах приема ставок может быть организована вне игорных зон в порядке, установленном настоящей главой.</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 Букмекерские конторы, тотализаторы, их пункты приема ставок (за исключением открываемых в игорных зонах) могут быть открыты исключительно на основании лицензий на осуществление деятельности по организации и проведению азартных игр в букмекерских конторах и тотализаторах, </w:t>
      </w:r>
      <w:r w:rsidRPr="00BB3E8D">
        <w:rPr>
          <w:rFonts w:ascii="Times New Roman" w:eastAsia="Times New Roman" w:hAnsi="Times New Roman" w:cs="Times New Roman"/>
          <w:color w:val="0000FF"/>
          <w:sz w:val="16"/>
          <w:szCs w:val="16"/>
          <w:u w:val="single"/>
          <w:lang w:eastAsia="ru-RU"/>
        </w:rPr>
        <w:t>порядок</w:t>
      </w:r>
      <w:r w:rsidRPr="00BB3E8D">
        <w:rPr>
          <w:rFonts w:ascii="Times New Roman" w:eastAsia="Times New Roman" w:hAnsi="Times New Roman" w:cs="Times New Roman"/>
          <w:sz w:val="16"/>
          <w:szCs w:val="16"/>
          <w:lang w:eastAsia="ru-RU"/>
        </w:rPr>
        <w:t xml:space="preserve"> выдачи которых определяется Правительством Российской Федерации.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В букмекерских конторах, тотализаторах, их пунктах приема ставок, расположенных вне игорных зон, не может осуществляться деятельность по организации и проведению азартных игр с использованием игровых автоматов и игровых столов.</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Организаторы азартных игр в букмекерских конторах вправе организовывать заключение пари между двумя или несколькими участниками азартной игры в случае указания в лицензии на осуществление деятельности по организации и проведению азартных игр в букмекерских конторах и тотализаторах соответствующего вида услуг.</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4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5. Организаторы азартных игр в букмекерских конторах или тотализаторах обязаны состоять в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созданных в соответствии с настоящим Федеральным законом и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от 1 декабря 2007 года N 315-ФЗ "О саморегулируемых организациях". Организаторы азартных игр в букмекерских конторах и тотализаторах могут быть членами только одной саморегулируемой организации организаторов азартных игр соответствующего вида.</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5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В случае указания в лицензии на осуществление деятельности по организации и проведению азартных игр в букмекерских конторах и тотализаторах вида услуг по организации заключения основанных на риске соглашений о выигрыше между двумя или несколькими участниками азартной игры организаторы азартных игр в букмекерских конторах также обязаны состоять в саморегулируемой организации организаторов азартных игр в тотализаторах.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6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7. Вновь созданные организаторы азартных игр в букмекерских конторах или тотализаторах обязаны вступить в саморегулируемую организацию организаторов азартных игр в букмекерских конторах и (или) в саморегулируемую организацию организаторов азартных игр в тотализаторах в течение тридцати дней с даты получения лицензии на осуществление деятельности по организации и проведению азартных игр в букмекерских конторах и тотализаторах в соответствии с указанным в этой лицензии видом оказываемых услуг (услуг по заключению с участниками азартных игр основанных на риске соглашений о выигрыше и (или) услуг по организации заключения основанных на риске соглашений о выигрыше между двумя или несколькими участниками азартной игры).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7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14.1.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lastRenderedPageBreak/>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 Создание и функционирование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осуществляются в соответствии с требованиями настоящего Федерального закона и Федерального </w:t>
      </w:r>
      <w:r w:rsidRPr="00BB3E8D">
        <w:rPr>
          <w:rFonts w:ascii="Times New Roman" w:eastAsia="Times New Roman" w:hAnsi="Times New Roman" w:cs="Times New Roman"/>
          <w:color w:val="0000FF"/>
          <w:sz w:val="16"/>
          <w:szCs w:val="16"/>
          <w:u w:val="single"/>
          <w:lang w:eastAsia="ru-RU"/>
        </w:rPr>
        <w:t>закона</w:t>
      </w:r>
      <w:r w:rsidRPr="00BB3E8D">
        <w:rPr>
          <w:rFonts w:ascii="Times New Roman" w:eastAsia="Times New Roman" w:hAnsi="Times New Roman" w:cs="Times New Roman"/>
          <w:sz w:val="16"/>
          <w:szCs w:val="16"/>
          <w:lang w:eastAsia="ru-RU"/>
        </w:rPr>
        <w:t xml:space="preserve"> от 1 декабря 2007 года N 315-ФЗ "О саморегулируемых организациях".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 Саморегулируемой организацией организаторов азартных игр в букмекерских конторах и саморегулируемой организацией организаторов азартных игр в тотализаторах признаются некоммерческие организации, основанные на членстве и соответствующие требованиям, установленным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от 1 декабря 2007 года N 315-ФЗ "О саморегулируемых организациях" и </w:t>
      </w:r>
      <w:r w:rsidRPr="00BB3E8D">
        <w:rPr>
          <w:rFonts w:ascii="Times New Roman" w:eastAsia="Times New Roman" w:hAnsi="Times New Roman" w:cs="Times New Roman"/>
          <w:color w:val="0000FF"/>
          <w:sz w:val="16"/>
          <w:szCs w:val="16"/>
          <w:u w:val="single"/>
          <w:lang w:eastAsia="ru-RU"/>
        </w:rPr>
        <w:t>частью 4</w:t>
      </w:r>
      <w:r w:rsidRPr="00BB3E8D">
        <w:rPr>
          <w:rFonts w:ascii="Times New Roman" w:eastAsia="Times New Roman" w:hAnsi="Times New Roman" w:cs="Times New Roman"/>
          <w:sz w:val="16"/>
          <w:szCs w:val="16"/>
          <w:lang w:eastAsia="ru-RU"/>
        </w:rPr>
        <w:t xml:space="preserve"> настоящей статьи.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 Для внесения в государственный реестр саморегулируемых организаций организаторов азартных игр в букмекерских конторах или государственный реестр саморегулируемых организаций организаторов азартных игр в тотализаторах сведений о некоммерческой организации ею представляются в уполномоченный федеральный орган исполнительной власти, осуществляющий функции по государственному надзору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документы, предусмотренные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от 1 декабря 2007 года N 315-ФЗ "О саморегулируемых организациях", а также документы, подтверждающие соблюдение требований, установленных </w:t>
      </w:r>
      <w:r w:rsidRPr="00BB3E8D">
        <w:rPr>
          <w:rFonts w:ascii="Times New Roman" w:eastAsia="Times New Roman" w:hAnsi="Times New Roman" w:cs="Times New Roman"/>
          <w:color w:val="0000FF"/>
          <w:sz w:val="16"/>
          <w:szCs w:val="16"/>
          <w:u w:val="single"/>
          <w:lang w:eastAsia="ru-RU"/>
        </w:rPr>
        <w:t>частью 4</w:t>
      </w:r>
      <w:r w:rsidRPr="00BB3E8D">
        <w:rPr>
          <w:rFonts w:ascii="Times New Roman" w:eastAsia="Times New Roman" w:hAnsi="Times New Roman" w:cs="Times New Roman"/>
          <w:sz w:val="16"/>
          <w:szCs w:val="16"/>
          <w:lang w:eastAsia="ru-RU"/>
        </w:rPr>
        <w:t xml:space="preserve"> настоящей статьи.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должны соответствовать следующим требованиям:</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объединение в составе некоммерческой организации в качестве ее членов не менее чем десять организаторов азартных игр соответствующего вида. В случае, если количество организаторов азартных игр соответствующего вида, осуществляющих свою деятельность на территории Российской Федерации, составляет менее чем десять организаторов азартных игр соответствующего вида, объединение в составе некоммерческой организации в качестве ее членов должно составлять не менее чем три организатора азартных игр соответствующего вида;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наличие утвержденных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правил приема в члены саморегулируемой организации организаторов азартных игр соответствующего вида и прекращения такого членства;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наличие утвержденных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стандартов и правил, регламентирующих порядок осуществления деятельности организаторов азартных игр соответствующего вида (далее - стандарты и правила);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наличие утвержденного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перечня мер дисциплинарного воздействия, которые могут быть применены в отношении членов саморегулируемой организации организаторов азартных игр соответствующего вида за нарушение требований стандартов и правил;</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наличие компенсационного фонда, сформированного за счет взносов членов саморегулируемой организации организаторов азартных игр соответствующего вида, как способа обеспечения обязательств членов саморегулируемой организации организаторов азартных игр соответствующего вида перед участниками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5. Документы, стандарты и правила, предусмотренные </w:t>
      </w:r>
      <w:r w:rsidRPr="00BB3E8D">
        <w:rPr>
          <w:rFonts w:ascii="Times New Roman" w:eastAsia="Times New Roman" w:hAnsi="Times New Roman" w:cs="Times New Roman"/>
          <w:color w:val="0000FF"/>
          <w:sz w:val="16"/>
          <w:szCs w:val="16"/>
          <w:u w:val="single"/>
          <w:lang w:eastAsia="ru-RU"/>
        </w:rPr>
        <w:t>пунктами 2</w:t>
      </w:r>
      <w:r w:rsidRPr="00BB3E8D">
        <w:rPr>
          <w:rFonts w:ascii="Times New Roman" w:eastAsia="Times New Roman" w:hAnsi="Times New Roman" w:cs="Times New Roman"/>
          <w:sz w:val="16"/>
          <w:szCs w:val="16"/>
          <w:lang w:eastAsia="ru-RU"/>
        </w:rPr>
        <w:t xml:space="preserve"> - </w:t>
      </w:r>
      <w:r w:rsidRPr="00BB3E8D">
        <w:rPr>
          <w:rFonts w:ascii="Times New Roman" w:eastAsia="Times New Roman" w:hAnsi="Times New Roman" w:cs="Times New Roman"/>
          <w:color w:val="0000FF"/>
          <w:sz w:val="16"/>
          <w:szCs w:val="16"/>
          <w:u w:val="single"/>
          <w:lang w:eastAsia="ru-RU"/>
        </w:rPr>
        <w:t>4 части 4</w:t>
      </w:r>
      <w:r w:rsidRPr="00BB3E8D">
        <w:rPr>
          <w:rFonts w:ascii="Times New Roman" w:eastAsia="Times New Roman" w:hAnsi="Times New Roman" w:cs="Times New Roman"/>
          <w:sz w:val="16"/>
          <w:szCs w:val="16"/>
          <w:lang w:eastAsia="ru-RU"/>
        </w:rPr>
        <w:t xml:space="preserve"> настоящей статьи, в течение тридцати дней после дня внесения сведений о некоммерческой организации соответственно в государственный реестр саморегулируемых организаций организаторов азартных игр в букмекерских конторах, государственный реестр саморегулируемых организаций организаторов азартных игр в тотализаторах должны быть представлены в федеральный орган исполнительной власти, уполномоченный Правительством Российской Федерации на осуществление функций по нормативно-правовому регулированию в сфере организации и проведения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Федеральный орган исполнительной власти, уполномоченный Правительством Российской Федерации на осуществление функций по нормативно-правовому регулированию в сфере организации и проведения азартных игр, обязан утвердить представленные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документы, стандарты и правила либо в случае обнаружения несоответствия федеральным законам и иным нормативным правовым актам Российской Федерации представленных документов, стандартов и правил и (или) выявления в них положений, нарушающих права и законные интересы участников азартных игр, направить в письменной форме мотивированный отказ в их утверждении в срок не позднее чем через тридцать дней со дня их получения.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7. В случае направления федеральным органом исполнительной власти, уполномоченным Правительством Российской Федерации на осуществление функций по нормативно-правовому регулированию в сфере организации и проведения азартных игр, мотивированного отказа в утверждении документов, стандартов и правил, представленных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указанные документы, стандарты и правила должны быть доработаны и повторно представлены для утверждения в данный федеральный орган исполнительной власти в срок не позднее чем через тридцать дней со дня получения мотивированного отказа.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8. Компенсационный фонд саморегулируемой организации организаторов азартных игр в букмекерских конторах и компенсационный фонд саморегулируемой организации организаторов азартных игр в тотализаторах формируются исключительно в денежной форме.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9. Размер компенсационного фонда саморегулируемой организации организаторов азартных игр в букмекерских конторах должен составлять не менее чем триста миллионов рублей. Размер компенсационного фонда саморегулируемой организации организаторов азартных игр в тотализаторах должен составлять не менее чем сто миллионов рублей.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10. Размеры взносов членов саморегулируемой организации организаторов азартных игр в букмекерских конторах для формирования ее компенсационного фонда рассчитываются в равных долях и составляют не менее чем тридцать миллионов рублей в отношении каждого члена этой саморегулируемой организации.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11. Размеры взносов членов саморегулируемой организации организаторов азартных игр в тотализаторах для формирования ее компенсационного фонда рассчитываются в равных долях и составляют не менее чем десять миллионов рублей в отношении каждого члена этой саморегулируемой организации.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12.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утверждают стандарты и правила, применяют меры дисциплинарного воздействия в отношении своих членов за нарушение требований стандартов и правил, определяют условия использования компенсационного фонда саморегулируемой организации организаторов азартных игр в букмекерских конторах и компенсационного фонда саморегулируемой организации организаторов азартных игр в тотализаторах и правила возврата члену саморегулируемой организации организаторов азартных игр в букмекерских конторах и члену саморегулируемой организации организаторов азартных игр в тотализаторах взносов, внесенных ими в соответствующий компенсационный фонд, в случае прекращения членства в саморегулируемой организации организаторов азартных игр соответствующего вида.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13.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заключают договоры об осуществлении функций центра учета переводов интерактивных ставок букмекерских контор или тотализаторов только с одной кредитной организацией.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14. Саморегулируемая организация организаторов азартных игр в букмекерских конторах и саморегулируемая организация организаторов азартных игр в тотализаторах вправе утверждать не противоречащие настоящему Федеральному закону и иным нормативным правовым актам Российской Федерации дополнительные требования к членам саморегулируемой организации организаторов азартных игр соответствующего вида.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15.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вправе требовать уплаты взносов членами саморегулируемой организации организаторов азартных игр соответствующего вида в размерах и в порядке, которые определяются их внутренними документами, утвержденными общим собранием их членов.</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16.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от своего имени и в интересах своих членов вправе обратиться в уполномоченный </w:t>
      </w:r>
      <w:r w:rsidRPr="00BB3E8D">
        <w:rPr>
          <w:rFonts w:ascii="Times New Roman" w:eastAsia="Times New Roman" w:hAnsi="Times New Roman" w:cs="Times New Roman"/>
          <w:sz w:val="16"/>
          <w:szCs w:val="16"/>
          <w:lang w:eastAsia="ru-RU"/>
        </w:rPr>
        <w:lastRenderedPageBreak/>
        <w:t>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с заявлением об обнаружении саморегулируемой организацией организаторов азартных игр в букмекерских конторах, саморегулируемой организацией организаторов азартных игр в тотализаторах доменных имен, указателей страниц сайтов в сети "Интернет" и сетевых адресов, позволяющих идентифицировать сайты в сети "Интернет", содержащие информацию с признаками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17. Не позднее чем в течение пяти дней с момента получения от саморегулируемой организации организаторов азартных игр соответствующего вида заявления, указанного в </w:t>
      </w:r>
      <w:r w:rsidRPr="00BB3E8D">
        <w:rPr>
          <w:rFonts w:ascii="Times New Roman" w:eastAsia="Times New Roman" w:hAnsi="Times New Roman" w:cs="Times New Roman"/>
          <w:color w:val="0000FF"/>
          <w:sz w:val="16"/>
          <w:szCs w:val="16"/>
          <w:u w:val="single"/>
          <w:lang w:eastAsia="ru-RU"/>
        </w:rPr>
        <w:t>части 16</w:t>
      </w:r>
      <w:r w:rsidRPr="00BB3E8D">
        <w:rPr>
          <w:rFonts w:ascii="Times New Roman" w:eastAsia="Times New Roman" w:hAnsi="Times New Roman" w:cs="Times New Roman"/>
          <w:sz w:val="16"/>
          <w:szCs w:val="16"/>
          <w:lang w:eastAsia="ru-RU"/>
        </w:rPr>
        <w:t xml:space="preserve"> настоящей статьи,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обязан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включении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доменных имен, указателей страниц сайтов в сети "Интернет" и сетевых адресов, позволяющих идентифицировать сайты в сети "Интернет", содержащие информацию с признаками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18. Саморегулируемая организация организаторов азартных игр в букмекерских конторах, саморегулируемая организация организаторов азартных игр в тотализаторах от своего имени и в интересах своих членов вправе обратиться в суд с заявлением о признании информации, распространяемой посредством сети "Интернет" и содержащей признаки нарушения положений настоящего Федерального закона о запрете деятельности по организации и проведению азартных игр с использованием информационно-телекоммуникационных сетей, в том числе сети "Интернет", информацией, распространение которой в Российской Федерации запрещено.</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19. Организатор азартных игр в букмекерской конторе или тотализаторе на основании заявления в письменной форме вправе выйти из членов саморегулируемой организации организаторов азартных игр соответствующего вида.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20. Саморегулируемая организация организаторов азартных игр соответствующего вида принимает решение об исключении организатора азартных игр в букмекерской конторе или тотализаторе из членов саморегулируемой организации организаторов азартных игр соответствующего вида в порядке и в случаях, которые предусмотрены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от 1 декабря 2007 года N 315-ФЗ "О саморегулируемых организациях", а также в случае осуществления организатором азартных игр в букмекерской конторе или тотализаторе деятельности по организации и проведению азартных игр в казино и залах игровых автоматов вне игорной зоны либо в случае неуплаты взносов, установленных саморегулируемой организацией организаторов азартных игр соответствующего вида, в течение шестидесяти календарных дней по истечении срока уплаты этих взносов.</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21. Организатор азартных игр в букмекерской конторе или тотализаторе, прекративший членство в саморегулируемой организации организаторов азартных игр в букмекерских конторах или в саморегулируемой организации организаторов азартных игр в тотализаторах, обязан вступить в другую саморегулируемую организацию организаторов азартных игр соответствующего вида в течение тридцати дней с даты прекращения соответствующего членства.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22. В случае прекращения членства организатора азартных игр в букмекерской конторе или тотализаторе в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саморегулируемая организация организаторов азартных игр соответствующего вида в течение пяти дней с даты прекращения такого членства обязана проинформировать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 выбывшем члене.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23. По истечении сорока дней с даты получения информации от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 о выбывшем члене и в случае отсутствия предусмотренных </w:t>
      </w:r>
      <w:r w:rsidRPr="00BB3E8D">
        <w:rPr>
          <w:rFonts w:ascii="Times New Roman" w:eastAsia="Times New Roman" w:hAnsi="Times New Roman" w:cs="Times New Roman"/>
          <w:color w:val="0000FF"/>
          <w:sz w:val="16"/>
          <w:szCs w:val="16"/>
          <w:u w:val="single"/>
          <w:lang w:eastAsia="ru-RU"/>
        </w:rPr>
        <w:t>частью 3.1 статьи 6</w:t>
      </w:r>
      <w:r w:rsidRPr="00BB3E8D">
        <w:rPr>
          <w:rFonts w:ascii="Times New Roman" w:eastAsia="Times New Roman" w:hAnsi="Times New Roman" w:cs="Times New Roman"/>
          <w:sz w:val="16"/>
          <w:szCs w:val="16"/>
          <w:lang w:eastAsia="ru-RU"/>
        </w:rPr>
        <w:t xml:space="preserve"> настоящего Федерального закона сведений о вступлении организатора азартных игр в букмекерской конторе или тотализаторе в другую саморегулируемую организацию организаторов азартных игр соответствующего вида уполномоченный Правительством Российской Федерации федеральный орган исполнительной власти, осуществляющий государственный надзор в области организации и проведения азартных игр, обращается в суд с требованием об аннулировании лицензии на осуществление деятельности по организации и проведению азартных игр в букмекерских конторах и тотализаторах такого выбывшего члена в порядке, установленном законодательством о лицензировании отдельных видов деятельности.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24. Государственный надзор за деятельностью саморегулируемых организаций организаторов азартных игр в букмекерских конторах и саморегулируемых организаций организаторов азартных игр в тотализаторах осуществляется уполномоченным Правительством Российской Федерации федеральным органом исполнительной власти, осуществляющим функции по контролю и надзору за соблюдением законодательства о налогах и сборах, в соответствии с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от 1 декабря 2007 года N 315-ФЗ "О саморегулируемых организациях".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14.2. Деятельность центра учета переводов интерактивных ставок букмекерских контор или тотализаторов</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Деятельность по приему от физического лица денежных средств, в том числе электронных денежных средств (за исключением почтовых переводов), их учету и переводу организатору азартных игр в букмекерской конторе или тотализаторе по поручению такого физического лица осуществляется исключительно кредитной организацией, в том числе небанковской кредитной организацией, заключившей с саморегулируемой организацией организаторов азартных игр в букмекерских конторах или саморегулируемой организацией организаторов азартных игр в тотализаторах договор об осуществлении функций центра учета переводов интерактивных ставок букмекерских контор или тотализаторов.</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 Центр учета переводов интерактивных ставок букмекерских контор или тотализаторов осуществляет свою деятельность в соответствии с Федеральным </w:t>
      </w:r>
      <w:r w:rsidRPr="00BB3E8D">
        <w:rPr>
          <w:rFonts w:ascii="Times New Roman" w:eastAsia="Times New Roman" w:hAnsi="Times New Roman" w:cs="Times New Roman"/>
          <w:color w:val="0000FF"/>
          <w:sz w:val="16"/>
          <w:szCs w:val="16"/>
          <w:u w:val="single"/>
          <w:lang w:eastAsia="ru-RU"/>
        </w:rPr>
        <w:t>законом</w:t>
      </w:r>
      <w:r w:rsidRPr="00BB3E8D">
        <w:rPr>
          <w:rFonts w:ascii="Times New Roman" w:eastAsia="Times New Roman" w:hAnsi="Times New Roman" w:cs="Times New Roman"/>
          <w:sz w:val="16"/>
          <w:szCs w:val="16"/>
          <w:lang w:eastAsia="ru-RU"/>
        </w:rPr>
        <w:t xml:space="preserve"> "О банках и банковской деятельности".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 Договор об осуществлении функций центра учета переводов интерактивных ставок букмекерских контор или тотализаторов, указанный в </w:t>
      </w:r>
      <w:r w:rsidRPr="00BB3E8D">
        <w:rPr>
          <w:rFonts w:ascii="Times New Roman" w:eastAsia="Times New Roman" w:hAnsi="Times New Roman" w:cs="Times New Roman"/>
          <w:color w:val="0000FF"/>
          <w:sz w:val="16"/>
          <w:szCs w:val="16"/>
          <w:u w:val="single"/>
          <w:lang w:eastAsia="ru-RU"/>
        </w:rPr>
        <w:t>части 1</w:t>
      </w:r>
      <w:r w:rsidRPr="00BB3E8D">
        <w:rPr>
          <w:rFonts w:ascii="Times New Roman" w:eastAsia="Times New Roman" w:hAnsi="Times New Roman" w:cs="Times New Roman"/>
          <w:sz w:val="16"/>
          <w:szCs w:val="16"/>
          <w:lang w:eastAsia="ru-RU"/>
        </w:rPr>
        <w:t xml:space="preserve"> настоящей статьи, должен содержать состав и порядок учета и хранения кредитной организацией информации о переводах интерактивных ставок букмекерским конторам или тотализаторам, а также порядок ее предоставления саморегулируемой организации организаторов азартных игр в букмекерских конторах или саморегулируемой организации организаторов азартных игр в тотализаторах.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Учредителем (участником) центра учета переводов интерактивных ставок букмекерских контор или тотализаторов должна выступать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 Саморегулируемая организация организаторов азартных игр в букмекерских конторах или саморегулируемая организация организаторов азартных игр в тотализаторах может выступать учредителем (участником) только одного центра учета переводов интерактивных ставок организаторов азартных игр соответствующего вида.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Центр учета переводов интерактивных ставок букмекерских контор или тотализаторов не вправе выступать организатором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Денежные средства, в том числе электронные денежные средства, принятые центром учета переводов интерактивных ставок букмекерских контор или тотализаторов и переведенные организатору азартных игр в букмекерской конторе или тотализаторе по поручениям участников азартных игр, должны зачисляться на банковский счет организатора азартных игр соответствующего вида, открытый в центре учета переводов интерактивных ставок букмекерских контор или тотализаторов, учредителем (участником) которого является саморегулируемая организация организаторов азартных игр соответствующего вида, членом которой является такой организатор азартных игр, и учитываться на этом банковском счете.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7. Выплата выигрышей физическим лицам - участникам азартных игр, от которых приняты интерактивные ставки, осуществляется организатором азартных игр в букмекерской конторе или тотализаторе только с банковского счета организатора азартных игр в букмекерской конторе или тотализаторе, открытого в центре учета переводов интерактивных ставок букмекерских контор или тотализаторов, путем </w:t>
      </w:r>
      <w:r w:rsidRPr="00BB3E8D">
        <w:rPr>
          <w:rFonts w:ascii="Times New Roman" w:eastAsia="Times New Roman" w:hAnsi="Times New Roman" w:cs="Times New Roman"/>
          <w:sz w:val="16"/>
          <w:szCs w:val="16"/>
          <w:lang w:eastAsia="ru-RU"/>
        </w:rPr>
        <w:lastRenderedPageBreak/>
        <w:t>зачисления денежных средств на их банковские счета, открытые в центре учета переводов интерактивных ставок букмекерских контор или тотализаторов (в случае осуществления функций центра учета переводов интерактивных ставок банком), либо путем увеличения остатков электронных денежных средств физических лиц - участников азартных игр (в случае осуществления функций центра учета переводов интерактивных ставок небанковской кредитной организацией).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15. Требования к букмекерским конторам, тотализаторам, пунктам приема ставок букмекерских контор и тотализаторов</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Букмекерские конторы, тотализаторы, их пункты приема ставок могут располагаться только в зданиях, строениях, сооружениях, являющихся объектами капитального строительства.</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Букмекерские конторы, тотализаторы, их пункты приема ставок не могут быть расположены: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в объектах жилищного фонда, объектах незавершенного строительства, во временных постройках, в киосках, под навесами и в других подобных постройках;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в зданиях, строениях, сооружениях, в которых расположены детские, образовательные, медицинские, санаторно-курортные учреждения;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в зданиях, строениях, сооружениях автовокзалов, железнодорожных вокзалов, речных вокзалов, речных портов, аэропортов, на станциях и остановках всех видов общественного транспорта (транспорта общего пользования) городского и пригородного сообщения;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в помещениях, в которых осуществляется деятельность, не связанная с организацией и проведением азартных игр или оказанием сопутствующих азартным играм услуг;</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в зданиях, строениях, сооружениях, которые находятся в государственной или муниципальной собственности, в собственности государственных корпораций, государственных компаний и в которых расположены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или муниципальные учреждения, унитарные предприятия, государственные корпорации и государственные компании;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(п. 5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6) в зданиях, строениях, сооружениях, в которых расположены культовые и религиозные организации.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 Букмекерские конторы, тотализаторы, их пункты приема ставок также не могут быть расположены на земельных участках, на которых расположены указанные в </w:t>
      </w:r>
      <w:r w:rsidRPr="00BB3E8D">
        <w:rPr>
          <w:rFonts w:ascii="Times New Roman" w:eastAsia="Times New Roman" w:hAnsi="Times New Roman" w:cs="Times New Roman"/>
          <w:color w:val="0000FF"/>
          <w:sz w:val="16"/>
          <w:szCs w:val="16"/>
          <w:u w:val="single"/>
          <w:lang w:eastAsia="ru-RU"/>
        </w:rPr>
        <w:t>части 2</w:t>
      </w:r>
      <w:r w:rsidRPr="00BB3E8D">
        <w:rPr>
          <w:rFonts w:ascii="Times New Roman" w:eastAsia="Times New Roman" w:hAnsi="Times New Roman" w:cs="Times New Roman"/>
          <w:sz w:val="16"/>
          <w:szCs w:val="16"/>
          <w:lang w:eastAsia="ru-RU"/>
        </w:rPr>
        <w:t xml:space="preserve"> настоящей статьи объекты.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13.06.2011 N 133-ФЗ)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3.1. В зоне обслуживания участников азартных игр в пункте приема ставок букмекерской конторы должна находиться касса букмекерской конторы.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3.1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3.2. Организатор азартных игр в букмекерской конторе при помощи специального оборудования, установленного в процессинговом центре букмекерской конторы, обязан обеспечить учет, обработку ставок, интерактивных ставок, фиксирование результатов азартных игр и расчет сумм выигрышей, подлежащих выплате.</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3.2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3.3. Организатор азартных игр в букмекерской конторе вправе самостоятельно определять событие, от которого зависит исход пари, за исключением случаев, установленных федеральными законами.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3.3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3.4. Положения </w:t>
      </w:r>
      <w:r w:rsidRPr="00BB3E8D">
        <w:rPr>
          <w:rFonts w:ascii="Times New Roman" w:eastAsia="Times New Roman" w:hAnsi="Times New Roman" w:cs="Times New Roman"/>
          <w:color w:val="0000FF"/>
          <w:sz w:val="16"/>
          <w:szCs w:val="16"/>
          <w:u w:val="single"/>
          <w:lang w:eastAsia="ru-RU"/>
        </w:rPr>
        <w:t>частей 3.1</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3.3</w:t>
      </w:r>
      <w:r w:rsidRPr="00BB3E8D">
        <w:rPr>
          <w:rFonts w:ascii="Times New Roman" w:eastAsia="Times New Roman" w:hAnsi="Times New Roman" w:cs="Times New Roman"/>
          <w:sz w:val="16"/>
          <w:szCs w:val="16"/>
          <w:lang w:eastAsia="ru-RU"/>
        </w:rPr>
        <w:t xml:space="preserve"> настоящей статьи применяются также в отношении пунктов приема ставок букмекерских контор, в том числе расположенных в казино и залах игровых автоматов.</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3.4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3.5. В зоне обслуживания участников азартных игр в пункте приема ставок тотализатора должна находиться касса тотализатора.</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3.5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3.6. Организатор азартных игр в тотализаторе при помощи специального оборудования, установленного в процессинговом центре тотализатора, обязан обеспечить учет, обработку ставок, интерактивных ставок, фиксирование результатов азартных игр и расчет сумм выигрышей, подлежащих выплате.</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3.6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3.7. Организатор азартных игр в тотализаторе обязан обеспечить участникам азартных игр возможность наблюдать развитие и исход события, от которого зависит результат пари, в том числе при помощи специального оборудования.</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3.7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3.8. Положения </w:t>
      </w:r>
      <w:r w:rsidRPr="00BB3E8D">
        <w:rPr>
          <w:rFonts w:ascii="Times New Roman" w:eastAsia="Times New Roman" w:hAnsi="Times New Roman" w:cs="Times New Roman"/>
          <w:color w:val="0000FF"/>
          <w:sz w:val="16"/>
          <w:szCs w:val="16"/>
          <w:u w:val="single"/>
          <w:lang w:eastAsia="ru-RU"/>
        </w:rPr>
        <w:t>частей 3.5</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3.7</w:t>
      </w:r>
      <w:r w:rsidRPr="00BB3E8D">
        <w:rPr>
          <w:rFonts w:ascii="Times New Roman" w:eastAsia="Times New Roman" w:hAnsi="Times New Roman" w:cs="Times New Roman"/>
          <w:sz w:val="16"/>
          <w:szCs w:val="16"/>
          <w:lang w:eastAsia="ru-RU"/>
        </w:rPr>
        <w:t xml:space="preserve"> настоящей статьи применяются также в отношении пунктов приема ставок тотализаторов, в том числе расположенных в казино, залах игровых автоматов и букмекерских конторах.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3.8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3.9. В служебной зоне букмекерской конторы (за исключением пунктов приема ставок букмекерской конторы) должен находиться процессинговый центр букмекерской конторы.</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3.9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3.10. В служебной зоне тотализатора (за исключением пунктов приема ставок тотализатора) должен находиться процессинговый центр тотализатора.</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3.10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3.11. В служебной зоне пункта приема ставок букмекерской конторы и служебной зоне пункта приема ставок тотализатора должно находиться специально оборудованное помещение или должно быть установлено специальное оборудование для временного хранения денежных средств.</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3.11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3.12. В процессинговом центре букмекерской конторы и в процессинговом центре тотализатора должны размещаться технические средства связи, предназначенные для приема информации из пунктов приема ставок букмекерской конторы или пунктов приема ставок тотализатора о принятых ставках, выплаченных и невыплаченных выигрышах, передачи информации о рассчитанных выигрышах, о развитии и об исходе события, от которого зависит результат пари, в пункты приема ставок букмекерской конторы или пункты приема ставок тотализатора, и (или) технические средства связи, предназначенные для обмена с центром учета переводов интерактивных ставок букмекерской конторы или тотализатора информацией о принятых интерактивных ставках, о рассчитанных по ним суммам подлежащих выплате выигрышей, о выплаченных и невыплаченных выигрышах.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3.12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3.13. В пунктах приема ставок букмекерской конторы и пунктах приема ставок тотализатора должны размещаться технические средства связи, предназначенные для приема информации из процессингового центра букмекерской конторы или процессингового центра тотализатора о рассчитанных выигрышах, о развитии и об исходе события, от которого зависит результат пари, передачи информации в процессинговый центр букмекерской конторы или процессинговый центр тотализатора о принятых ставках, выплаченных и невыплаченных выигрышах.</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3.13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Максимальный размер вознаграждения, взимаемого организатором азартных игр в тотализаторе с участников данного вида азартных игр, не может превышать тридцать процентов принятой от участников данного вида азартных игр суммы ставок.</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4 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5. В букмекерских конторах, тотализаторах, в их пунктах приема ставок не могут проводиться азартные игры, при которых исход событий, относительно которых заключаются основанные на риске соглашения о выигрыше, зависит от действий организатора данных видов азартных игр, его работников и участников азартных игр, действий, связанных с организацией и проведением иных азартных игр и лотерей </w:t>
      </w:r>
      <w:r w:rsidRPr="00BB3E8D">
        <w:rPr>
          <w:rFonts w:ascii="Times New Roman" w:eastAsia="Times New Roman" w:hAnsi="Times New Roman" w:cs="Times New Roman"/>
          <w:sz w:val="16"/>
          <w:szCs w:val="16"/>
          <w:lang w:eastAsia="ru-RU"/>
        </w:rPr>
        <w:lastRenderedPageBreak/>
        <w:t>(за исключением международных лотерей, которые проводятся на основании международных договоров Российской Федерации, и всероссийских государственных лотерей), а также не могут проводиться пари, при которых исход основанных на риске соглашений о выигрыше зависит от изменений курса иностранной валюты к валюте Российской Федерации или другой иностранной валюте, результатов проведения иных азартных игр и лотерей (за исключением международных лотерей, которые проводятся на основании международных договоров Российской Федерации, и всероссийских государственных лотерей).</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5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15.1. Государственный надзор в области организации и проведения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18.07.2011 N 242-ФЗ)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 Государственный надзор в области организации и проведения азартных игр осуществляется уполномоченными федеральным </w:t>
      </w:r>
      <w:r w:rsidRPr="00BB3E8D">
        <w:rPr>
          <w:rFonts w:ascii="Times New Roman" w:eastAsia="Times New Roman" w:hAnsi="Times New Roman" w:cs="Times New Roman"/>
          <w:color w:val="0000FF"/>
          <w:sz w:val="16"/>
          <w:szCs w:val="16"/>
          <w:u w:val="single"/>
          <w:lang w:eastAsia="ru-RU"/>
        </w:rPr>
        <w:t>органом</w:t>
      </w:r>
      <w:r w:rsidRPr="00BB3E8D">
        <w:rPr>
          <w:rFonts w:ascii="Times New Roman" w:eastAsia="Times New Roman" w:hAnsi="Times New Roman" w:cs="Times New Roman"/>
          <w:sz w:val="16"/>
          <w:szCs w:val="16"/>
          <w:lang w:eastAsia="ru-RU"/>
        </w:rPr>
        <w:t xml:space="preserve"> исполнительной власти (федеральный государственный надзор) и органами исполнительной власти субъектов Российской Федерации, указанными в </w:t>
      </w:r>
      <w:r w:rsidRPr="00BB3E8D">
        <w:rPr>
          <w:rFonts w:ascii="Times New Roman" w:eastAsia="Times New Roman" w:hAnsi="Times New Roman" w:cs="Times New Roman"/>
          <w:color w:val="0000FF"/>
          <w:sz w:val="16"/>
          <w:szCs w:val="16"/>
          <w:u w:val="single"/>
          <w:lang w:eastAsia="ru-RU"/>
        </w:rPr>
        <w:t>части 2 статьи 9</w:t>
      </w:r>
      <w:r w:rsidRPr="00BB3E8D">
        <w:rPr>
          <w:rFonts w:ascii="Times New Roman" w:eastAsia="Times New Roman" w:hAnsi="Times New Roman" w:cs="Times New Roman"/>
          <w:sz w:val="16"/>
          <w:szCs w:val="16"/>
          <w:lang w:eastAsia="ru-RU"/>
        </w:rPr>
        <w:t xml:space="preserve"> настоящего Федерального закона (региональный государственный надзор) (далее - органы государственного надзора), согласно их компетенции в соответствии с законодательством Российской Федерации в </w:t>
      </w:r>
      <w:r w:rsidRPr="00BB3E8D">
        <w:rPr>
          <w:rFonts w:ascii="Times New Roman" w:eastAsia="Times New Roman" w:hAnsi="Times New Roman" w:cs="Times New Roman"/>
          <w:color w:val="0000FF"/>
          <w:sz w:val="16"/>
          <w:szCs w:val="16"/>
          <w:u w:val="single"/>
          <w:lang w:eastAsia="ru-RU"/>
        </w:rPr>
        <w:t>порядке</w:t>
      </w:r>
      <w:r w:rsidRPr="00BB3E8D">
        <w:rPr>
          <w:rFonts w:ascii="Times New Roman" w:eastAsia="Times New Roman" w:hAnsi="Times New Roman" w:cs="Times New Roman"/>
          <w:sz w:val="16"/>
          <w:szCs w:val="16"/>
          <w:lang w:eastAsia="ru-RU"/>
        </w:rPr>
        <w:t>, установленном Правительством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 К отношениям, связанным с осуществлением государственного надзора в области организации и проведения азартных игр, организацией и проведением проверок юридических лиц, применяются положения Федерального </w:t>
      </w:r>
      <w:r w:rsidRPr="00BB3E8D">
        <w:rPr>
          <w:rFonts w:ascii="Times New Roman" w:eastAsia="Times New Roman" w:hAnsi="Times New Roman" w:cs="Times New Roman"/>
          <w:color w:val="0000FF"/>
          <w:sz w:val="16"/>
          <w:szCs w:val="16"/>
          <w:u w:val="single"/>
          <w:lang w:eastAsia="ru-RU"/>
        </w:rPr>
        <w:t>закона</w:t>
      </w:r>
      <w:r w:rsidRPr="00BB3E8D">
        <w:rPr>
          <w:rFonts w:ascii="Times New Roman" w:eastAsia="Times New Roman" w:hAnsi="Times New Roman" w:cs="Times New Roman"/>
          <w:sz w:val="16"/>
          <w:szCs w:val="16"/>
          <w:lang w:eastAsia="ru-RU"/>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r w:rsidRPr="00BB3E8D">
        <w:rPr>
          <w:rFonts w:ascii="Times New Roman" w:eastAsia="Times New Roman" w:hAnsi="Times New Roman" w:cs="Times New Roman"/>
          <w:color w:val="0000FF"/>
          <w:sz w:val="16"/>
          <w:szCs w:val="16"/>
          <w:u w:val="single"/>
          <w:lang w:eastAsia="ru-RU"/>
        </w:rPr>
        <w:t>частями 3</w:t>
      </w:r>
      <w:r w:rsidRPr="00BB3E8D">
        <w:rPr>
          <w:rFonts w:ascii="Times New Roman" w:eastAsia="Times New Roman" w:hAnsi="Times New Roman" w:cs="Times New Roman"/>
          <w:sz w:val="16"/>
          <w:szCs w:val="16"/>
          <w:lang w:eastAsia="ru-RU"/>
        </w:rPr>
        <w:t xml:space="preserve"> - </w:t>
      </w:r>
      <w:r w:rsidRPr="00BB3E8D">
        <w:rPr>
          <w:rFonts w:ascii="Times New Roman" w:eastAsia="Times New Roman" w:hAnsi="Times New Roman" w:cs="Times New Roman"/>
          <w:color w:val="0000FF"/>
          <w:sz w:val="16"/>
          <w:szCs w:val="16"/>
          <w:u w:val="single"/>
          <w:lang w:eastAsia="ru-RU"/>
        </w:rPr>
        <w:t>6</w:t>
      </w:r>
      <w:r w:rsidRPr="00BB3E8D">
        <w:rPr>
          <w:rFonts w:ascii="Times New Roman" w:eastAsia="Times New Roman" w:hAnsi="Times New Roman" w:cs="Times New Roman"/>
          <w:sz w:val="16"/>
          <w:szCs w:val="16"/>
          <w:lang w:eastAsia="ru-RU"/>
        </w:rPr>
        <w:t xml:space="preserve"> настоящей статьи.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Основанием для включения плановой проверки в ежегодный план проведения плановых проверок является истечение одного года со дня: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выдачи юридическому лицу разрешения на осуществление деятельности по организации и проведению азартных игр в игорной зоне;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окончания проведения последней плановой проверки.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Основанием для проведения внеплановой проверки является: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истечение срока исполнения юридическим лицом выданного органом государственного надзора предписания об устранении выявленного нарушения требований законодательства о государственном регулировании деятельности по организации и проведению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требований законодательства о государственном регулировании деятельности по организации и проведению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5. Внеплановая выездная проверка по основанию, указанному в </w:t>
      </w:r>
      <w:r w:rsidRPr="00BB3E8D">
        <w:rPr>
          <w:rFonts w:ascii="Times New Roman" w:eastAsia="Times New Roman" w:hAnsi="Times New Roman" w:cs="Times New Roman"/>
          <w:color w:val="0000FF"/>
          <w:sz w:val="16"/>
          <w:szCs w:val="16"/>
          <w:u w:val="single"/>
          <w:lang w:eastAsia="ru-RU"/>
        </w:rPr>
        <w:t>пункте 2 части 4</w:t>
      </w:r>
      <w:r w:rsidRPr="00BB3E8D">
        <w:rPr>
          <w:rFonts w:ascii="Times New Roman" w:eastAsia="Times New Roman" w:hAnsi="Times New Roman" w:cs="Times New Roman"/>
          <w:sz w:val="16"/>
          <w:szCs w:val="16"/>
          <w:lang w:eastAsia="ru-RU"/>
        </w:rPr>
        <w:t xml:space="preserve"> настоящей статьи, может быть проведена органом государственного надзора незамедлительно с извещением органа прокуратуры в порядке, установленном </w:t>
      </w:r>
      <w:r w:rsidRPr="00BB3E8D">
        <w:rPr>
          <w:rFonts w:ascii="Times New Roman" w:eastAsia="Times New Roman" w:hAnsi="Times New Roman" w:cs="Times New Roman"/>
          <w:color w:val="0000FF"/>
          <w:sz w:val="16"/>
          <w:szCs w:val="16"/>
          <w:u w:val="single"/>
          <w:lang w:eastAsia="ru-RU"/>
        </w:rPr>
        <w:t>частью 12 статьи 10</w:t>
      </w:r>
      <w:r w:rsidRPr="00BB3E8D">
        <w:rPr>
          <w:rFonts w:ascii="Times New Roman" w:eastAsia="Times New Roman" w:hAnsi="Times New Roman" w:cs="Times New Roman"/>
          <w:sz w:val="16"/>
          <w:szCs w:val="16"/>
          <w:lang w:eastAsia="ru-RU"/>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6. Предварительное уведомление юридического лица о проведении внеплановой выездной проверки по основанию, указанному в </w:t>
      </w:r>
      <w:r w:rsidRPr="00BB3E8D">
        <w:rPr>
          <w:rFonts w:ascii="Times New Roman" w:eastAsia="Times New Roman" w:hAnsi="Times New Roman" w:cs="Times New Roman"/>
          <w:color w:val="0000FF"/>
          <w:sz w:val="16"/>
          <w:szCs w:val="16"/>
          <w:u w:val="single"/>
          <w:lang w:eastAsia="ru-RU"/>
        </w:rPr>
        <w:t>пункте 2 части 4</w:t>
      </w:r>
      <w:r w:rsidRPr="00BB3E8D">
        <w:rPr>
          <w:rFonts w:ascii="Times New Roman" w:eastAsia="Times New Roman" w:hAnsi="Times New Roman" w:cs="Times New Roman"/>
          <w:sz w:val="16"/>
          <w:szCs w:val="16"/>
          <w:lang w:eastAsia="ru-RU"/>
        </w:rPr>
        <w:t xml:space="preserve"> настоящей статьи, не допускается.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7. Должностные лица органов государственного надзора в порядке, установленном законодательством Российской Федерации, имеют право:</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 запрашивать и получать на основании мотивированных запросов от юридических лиц информацию и документы, необходимые в ходе проведения проверки;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объекты, в которых осуществляется деятельность по организации и проведению азартных игр, и проводить обследования используемых зданий, помещений, сооружений, технических средств и игрового оборудования, а также исследования, испытания, расследования, экспертизы и другие мероприятия по контролю;</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3) выдавать юридическим лицам предписания об устранении выявленных нарушений требований законодательства о государственном регулировании деятельности по организации и проведению азартных игр;</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4) составлять протоколы об административных правонарушениях, связанных с нарушением законодательства о государственном регулировании деятельности по организации и проведению азартных игр, рассматривать дела об указанных административных правонарушениях и принимать меры по предотвращению таких нарушений;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направлять в уполномоченные органы материалы, связанные с нарушением законодательства о государственном регулировании деятельности по организации и проведению азартных игр, для решения вопросов о возбуждении уголовных дел по признакам преступлений.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8. Лица, виновные в нарушении законодательства о государственном регулировании деятельности по организации и проведению азартных игр, несут ответственность в соответствии с законодательством Российской Федерации.</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(часть 8 введена Федеральным </w:t>
      </w:r>
      <w:r w:rsidRPr="00BB3E8D">
        <w:rPr>
          <w:rFonts w:ascii="Times New Roman" w:eastAsia="Times New Roman" w:hAnsi="Times New Roman" w:cs="Times New Roman"/>
          <w:color w:val="0000FF"/>
          <w:sz w:val="16"/>
          <w:szCs w:val="16"/>
          <w:lang w:eastAsia="ru-RU"/>
        </w:rPr>
        <w:t>законом</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16. Заключительные положения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1 - 4. Утратили силу. - Федеральный </w:t>
      </w:r>
      <w:r w:rsidRPr="00BB3E8D">
        <w:rPr>
          <w:rFonts w:ascii="Times New Roman" w:eastAsia="Times New Roman" w:hAnsi="Times New Roman" w:cs="Times New Roman"/>
          <w:color w:val="0000FF"/>
          <w:sz w:val="16"/>
          <w:szCs w:val="16"/>
          <w:u w:val="single"/>
          <w:lang w:eastAsia="ru-RU"/>
        </w:rPr>
        <w:t>закон</w:t>
      </w:r>
      <w:r w:rsidRPr="00BB3E8D">
        <w:rPr>
          <w:rFonts w:ascii="Times New Roman" w:eastAsia="Times New Roman" w:hAnsi="Times New Roman" w:cs="Times New Roman"/>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5. Со дня вступления в силу настоящего Федерального закона выдача новых лицензий на осуществление деятельности по организации и проведению азартных игр и (или) пари прекращается, за исключением выдаваемых в соответствии с настоящим Федеральным законом лицензий на осуществление деятельности по организации и проведению азартных игр в букмекерских конторах и тотализаторах.</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6. Утратил силу. - Федеральный </w:t>
      </w:r>
      <w:r w:rsidRPr="00BB3E8D">
        <w:rPr>
          <w:rFonts w:ascii="Times New Roman" w:eastAsia="Times New Roman" w:hAnsi="Times New Roman" w:cs="Times New Roman"/>
          <w:color w:val="0000FF"/>
          <w:sz w:val="16"/>
          <w:szCs w:val="16"/>
          <w:u w:val="single"/>
          <w:lang w:eastAsia="ru-RU"/>
        </w:rPr>
        <w:t>закон</w:t>
      </w:r>
      <w:r w:rsidRPr="00BB3E8D">
        <w:rPr>
          <w:rFonts w:ascii="Times New Roman" w:eastAsia="Times New Roman" w:hAnsi="Times New Roman" w:cs="Times New Roman"/>
          <w:sz w:val="16"/>
          <w:szCs w:val="16"/>
          <w:lang w:eastAsia="ru-RU"/>
        </w:rPr>
        <w:t xml:space="preserve"> от 16.10.2012 N 168-ФЗ.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7. Органы государственной власти субъектов Российской Федерации вправе принять до 1 июля 2007 года решение о запрете начиная с 1 июля 2007 года на территории субъекта Российской Федерации (за исключением игорных зон) деятельности по организации и проведению азартных игр (в том числе в отношении отдельных видов игорных заведений).</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8. Принятые органами государственной власти субъектов Российской Федерации до дня вступления в силу настоящего Федерального закона решения о запрете деятельности по организации и проведению азартных игр (в том числе в отношении отдельных видов игорных заведений), об установлении ограничений этой деятельности на территории субъекта Российской Федерации (за исключением игорных зон) сохраняют свое действие.</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9. Предусмотренные настоящим Федеральным законом игорные зоны должны быть созданы до 1 июля 2007 года. Деятельность игорных заведений, не имеющих предусмотренного настоящим Федеральным законом разрешения на осуществление деятельности по организации и проведению азартных игр в игорной зоне, должна быть прекращена до 1 июля 2009 года, за исключением букмекерских контор и тотализаторов, их пунктов приема ставок, соответствующих требованиям настоящего Федерального закона.</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10. До истечения шести месяцев со дня вступления в силу настоящего Федерального закона Правительством Российской Федерации должны быть приняты нормативные правовые акты, необходимые для реализации положений настоящего Федерального закона.</w:t>
      </w:r>
    </w:p>
    <w:p w:rsidR="00D27351" w:rsidRPr="00BB3E8D" w:rsidRDefault="00D27351" w:rsidP="00D27351">
      <w:pPr>
        <w:spacing w:after="0" w:line="240" w:lineRule="auto"/>
        <w:jc w:val="both"/>
        <w:rPr>
          <w:rFonts w:ascii="Times New Roman" w:eastAsia="Times New Roman" w:hAnsi="Times New Roman" w:cs="Times New Roman"/>
          <w:color w:val="828282"/>
          <w:sz w:val="16"/>
          <w:szCs w:val="16"/>
          <w:lang w:eastAsia="ru-RU"/>
        </w:rPr>
      </w:pPr>
      <w:r w:rsidRPr="00BB3E8D">
        <w:rPr>
          <w:rFonts w:ascii="Times New Roman" w:eastAsia="Times New Roman" w:hAnsi="Times New Roman" w:cs="Times New Roman"/>
          <w:color w:val="828282"/>
          <w:sz w:val="16"/>
          <w:szCs w:val="16"/>
          <w:lang w:eastAsia="ru-RU"/>
        </w:rPr>
        <w:t xml:space="preserve">(в ред. Федерального </w:t>
      </w:r>
      <w:r w:rsidRPr="00BB3E8D">
        <w:rPr>
          <w:rFonts w:ascii="Times New Roman" w:eastAsia="Times New Roman" w:hAnsi="Times New Roman" w:cs="Times New Roman"/>
          <w:color w:val="0000FF"/>
          <w:sz w:val="16"/>
          <w:szCs w:val="16"/>
          <w:lang w:eastAsia="ru-RU"/>
        </w:rPr>
        <w:t>закона</w:t>
      </w:r>
      <w:r w:rsidRPr="00BB3E8D">
        <w:rPr>
          <w:rFonts w:ascii="Times New Roman" w:eastAsia="Times New Roman" w:hAnsi="Times New Roman" w:cs="Times New Roman"/>
          <w:color w:val="828282"/>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lastRenderedPageBreak/>
        <w:t xml:space="preserve">Статья 17. Утратила силу. - Федеральный </w:t>
      </w:r>
      <w:r w:rsidRPr="00BB3E8D">
        <w:rPr>
          <w:rFonts w:ascii="Times New Roman" w:eastAsia="Times New Roman" w:hAnsi="Times New Roman" w:cs="Times New Roman"/>
          <w:color w:val="0000FF"/>
          <w:sz w:val="16"/>
          <w:szCs w:val="16"/>
          <w:u w:val="single"/>
          <w:lang w:eastAsia="ru-RU"/>
        </w:rPr>
        <w:t>закон</w:t>
      </w:r>
      <w:r w:rsidRPr="00BB3E8D">
        <w:rPr>
          <w:rFonts w:ascii="Times New Roman" w:eastAsia="Times New Roman" w:hAnsi="Times New Roman" w:cs="Times New Roman"/>
          <w:sz w:val="16"/>
          <w:szCs w:val="16"/>
          <w:lang w:eastAsia="ru-RU"/>
        </w:rPr>
        <w:t xml:space="preserve"> от 04.05.2011 N 99-ФЗ.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Статья 18. Утратила силу. - Федеральный </w:t>
      </w:r>
      <w:r w:rsidRPr="00BB3E8D">
        <w:rPr>
          <w:rFonts w:ascii="Times New Roman" w:eastAsia="Times New Roman" w:hAnsi="Times New Roman" w:cs="Times New Roman"/>
          <w:color w:val="0000FF"/>
          <w:sz w:val="16"/>
          <w:szCs w:val="16"/>
          <w:u w:val="single"/>
          <w:lang w:eastAsia="ru-RU"/>
        </w:rPr>
        <w:t>закон</w:t>
      </w:r>
      <w:r w:rsidRPr="00BB3E8D">
        <w:rPr>
          <w:rFonts w:ascii="Times New Roman" w:eastAsia="Times New Roman" w:hAnsi="Times New Roman" w:cs="Times New Roman"/>
          <w:sz w:val="16"/>
          <w:szCs w:val="16"/>
          <w:lang w:eastAsia="ru-RU"/>
        </w:rPr>
        <w:t xml:space="preserve"> от 21.07.2014 N 222-ФЗ.</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19. О признании утратившими силу отдельных положений законодательных актов Российской Федерации</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Признать утратившими силу:</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 </w:t>
      </w:r>
      <w:r w:rsidRPr="00BB3E8D">
        <w:rPr>
          <w:rFonts w:ascii="Times New Roman" w:eastAsia="Times New Roman" w:hAnsi="Times New Roman" w:cs="Times New Roman"/>
          <w:color w:val="0000FF"/>
          <w:sz w:val="16"/>
          <w:szCs w:val="16"/>
          <w:u w:val="single"/>
          <w:lang w:eastAsia="ru-RU"/>
        </w:rPr>
        <w:t>абзацы четыреста тридцатый</w:t>
      </w:r>
      <w:r w:rsidRPr="00BB3E8D">
        <w:rPr>
          <w:rFonts w:ascii="Times New Roman" w:eastAsia="Times New Roman" w:hAnsi="Times New Roman" w:cs="Times New Roman"/>
          <w:sz w:val="16"/>
          <w:szCs w:val="16"/>
          <w:lang w:eastAsia="ru-RU"/>
        </w:rPr>
        <w:t xml:space="preserve"> - </w:t>
      </w:r>
      <w:r w:rsidRPr="00BB3E8D">
        <w:rPr>
          <w:rFonts w:ascii="Times New Roman" w:eastAsia="Times New Roman" w:hAnsi="Times New Roman" w:cs="Times New Roman"/>
          <w:color w:val="0000FF"/>
          <w:sz w:val="16"/>
          <w:szCs w:val="16"/>
          <w:u w:val="single"/>
          <w:lang w:eastAsia="ru-RU"/>
        </w:rPr>
        <w:t>четыреста тридцать третий</w:t>
      </w:r>
      <w:r w:rsidRPr="00BB3E8D">
        <w:rPr>
          <w:rFonts w:ascii="Times New Roman" w:eastAsia="Times New Roman" w:hAnsi="Times New Roman" w:cs="Times New Roman"/>
          <w:sz w:val="16"/>
          <w:szCs w:val="16"/>
          <w:lang w:eastAsia="ru-RU"/>
        </w:rPr>
        <w:t xml:space="preserve"> пункта 5 статьи 2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 </w:t>
      </w:r>
      <w:r w:rsidRPr="00BB3E8D">
        <w:rPr>
          <w:rFonts w:ascii="Times New Roman" w:eastAsia="Times New Roman" w:hAnsi="Times New Roman" w:cs="Times New Roman"/>
          <w:color w:val="0000FF"/>
          <w:sz w:val="16"/>
          <w:szCs w:val="16"/>
          <w:u w:val="single"/>
          <w:lang w:eastAsia="ru-RU"/>
        </w:rPr>
        <w:t>абзацы семьдесят восьмой</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семьдесят девятый</w:t>
      </w:r>
      <w:r w:rsidRPr="00BB3E8D">
        <w:rPr>
          <w:rFonts w:ascii="Times New Roman" w:eastAsia="Times New Roman" w:hAnsi="Times New Roman" w:cs="Times New Roman"/>
          <w:sz w:val="16"/>
          <w:szCs w:val="16"/>
          <w:lang w:eastAsia="ru-RU"/>
        </w:rPr>
        <w:t xml:space="preserve"> подпункта "а" пункта 9 статьи 1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Статья 20. Вступление в силу настоящего Федерального закона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1. Настоящий Федеральный закон вступает в силу с 1 января 2007 года, за исключением пункта 1 </w:t>
      </w:r>
      <w:r w:rsidRPr="00BB3E8D">
        <w:rPr>
          <w:rFonts w:ascii="Times New Roman" w:eastAsia="Times New Roman" w:hAnsi="Times New Roman" w:cs="Times New Roman"/>
          <w:color w:val="0000FF"/>
          <w:sz w:val="16"/>
          <w:szCs w:val="16"/>
          <w:u w:val="single"/>
          <w:lang w:eastAsia="ru-RU"/>
        </w:rPr>
        <w:t>статьи 17</w:t>
      </w:r>
      <w:r w:rsidRPr="00BB3E8D">
        <w:rPr>
          <w:rFonts w:ascii="Times New Roman" w:eastAsia="Times New Roman" w:hAnsi="Times New Roman" w:cs="Times New Roman"/>
          <w:sz w:val="16"/>
          <w:szCs w:val="16"/>
          <w:lang w:eastAsia="ru-RU"/>
        </w:rPr>
        <w:t xml:space="preserve">, </w:t>
      </w:r>
      <w:r w:rsidRPr="00BB3E8D">
        <w:rPr>
          <w:rFonts w:ascii="Times New Roman" w:eastAsia="Times New Roman" w:hAnsi="Times New Roman" w:cs="Times New Roman"/>
          <w:color w:val="0000FF"/>
          <w:sz w:val="16"/>
          <w:szCs w:val="16"/>
          <w:u w:val="single"/>
          <w:lang w:eastAsia="ru-RU"/>
        </w:rPr>
        <w:t>статей 18</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19</w:t>
      </w:r>
      <w:r w:rsidRPr="00BB3E8D">
        <w:rPr>
          <w:rFonts w:ascii="Times New Roman" w:eastAsia="Times New Roman" w:hAnsi="Times New Roman" w:cs="Times New Roman"/>
          <w:sz w:val="16"/>
          <w:szCs w:val="16"/>
          <w:lang w:eastAsia="ru-RU"/>
        </w:rPr>
        <w:t xml:space="preserve"> настоящего Федерального закона.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2. Пункт 1 </w:t>
      </w:r>
      <w:r w:rsidRPr="00BB3E8D">
        <w:rPr>
          <w:rFonts w:ascii="Times New Roman" w:eastAsia="Times New Roman" w:hAnsi="Times New Roman" w:cs="Times New Roman"/>
          <w:color w:val="0000FF"/>
          <w:sz w:val="16"/>
          <w:szCs w:val="16"/>
          <w:u w:val="single"/>
          <w:lang w:eastAsia="ru-RU"/>
        </w:rPr>
        <w:t>статьи 17</w:t>
      </w:r>
      <w:r w:rsidRPr="00BB3E8D">
        <w:rPr>
          <w:rFonts w:ascii="Times New Roman" w:eastAsia="Times New Roman" w:hAnsi="Times New Roman" w:cs="Times New Roman"/>
          <w:sz w:val="16"/>
          <w:szCs w:val="16"/>
          <w:lang w:eastAsia="ru-RU"/>
        </w:rPr>
        <w:t xml:space="preserve">, пункт 1 </w:t>
      </w:r>
      <w:r w:rsidRPr="00BB3E8D">
        <w:rPr>
          <w:rFonts w:ascii="Times New Roman" w:eastAsia="Times New Roman" w:hAnsi="Times New Roman" w:cs="Times New Roman"/>
          <w:color w:val="0000FF"/>
          <w:sz w:val="16"/>
          <w:szCs w:val="16"/>
          <w:u w:val="single"/>
          <w:lang w:eastAsia="ru-RU"/>
        </w:rPr>
        <w:t>статьи 18</w:t>
      </w:r>
      <w:r w:rsidRPr="00BB3E8D">
        <w:rPr>
          <w:rFonts w:ascii="Times New Roman" w:eastAsia="Times New Roman" w:hAnsi="Times New Roman" w:cs="Times New Roman"/>
          <w:sz w:val="16"/>
          <w:szCs w:val="16"/>
          <w:lang w:eastAsia="ru-RU"/>
        </w:rPr>
        <w:t xml:space="preserve"> и </w:t>
      </w:r>
      <w:r w:rsidRPr="00BB3E8D">
        <w:rPr>
          <w:rFonts w:ascii="Times New Roman" w:eastAsia="Times New Roman" w:hAnsi="Times New Roman" w:cs="Times New Roman"/>
          <w:color w:val="0000FF"/>
          <w:sz w:val="16"/>
          <w:szCs w:val="16"/>
          <w:u w:val="single"/>
          <w:lang w:eastAsia="ru-RU"/>
        </w:rPr>
        <w:t>статья 19</w:t>
      </w:r>
      <w:r w:rsidRPr="00BB3E8D">
        <w:rPr>
          <w:rFonts w:ascii="Times New Roman" w:eastAsia="Times New Roman" w:hAnsi="Times New Roman" w:cs="Times New Roman"/>
          <w:sz w:val="16"/>
          <w:szCs w:val="16"/>
          <w:lang w:eastAsia="ru-RU"/>
        </w:rPr>
        <w:t xml:space="preserve"> настоящего Федерального закона вступают в силу с 30 июня 2009 года.</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xml:space="preserve">3. Пункт 2 </w:t>
      </w:r>
      <w:r w:rsidRPr="00BB3E8D">
        <w:rPr>
          <w:rFonts w:ascii="Times New Roman" w:eastAsia="Times New Roman" w:hAnsi="Times New Roman" w:cs="Times New Roman"/>
          <w:color w:val="0000FF"/>
          <w:sz w:val="16"/>
          <w:szCs w:val="16"/>
          <w:u w:val="single"/>
          <w:lang w:eastAsia="ru-RU"/>
        </w:rPr>
        <w:t>статьи 18</w:t>
      </w:r>
      <w:r w:rsidRPr="00BB3E8D">
        <w:rPr>
          <w:rFonts w:ascii="Times New Roman" w:eastAsia="Times New Roman" w:hAnsi="Times New Roman" w:cs="Times New Roman"/>
          <w:sz w:val="16"/>
          <w:szCs w:val="16"/>
          <w:lang w:eastAsia="ru-RU"/>
        </w:rPr>
        <w:t xml:space="preserve"> настоящего Федерального закона вступает в силу по истечении одного месяца со дня его официального опубликования.</w:t>
      </w:r>
    </w:p>
    <w:p w:rsidR="00D27351" w:rsidRPr="00BB3E8D" w:rsidRDefault="00D27351" w:rsidP="00D27351">
      <w:pPr>
        <w:spacing w:after="0" w:line="240" w:lineRule="auto"/>
        <w:ind w:firstLine="547"/>
        <w:jc w:val="both"/>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 </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Президент</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Российской Федерации</w:t>
      </w:r>
    </w:p>
    <w:p w:rsidR="00D27351" w:rsidRPr="00BB3E8D" w:rsidRDefault="00D27351" w:rsidP="00D27351">
      <w:pPr>
        <w:spacing w:after="0" w:line="240" w:lineRule="auto"/>
        <w:jc w:val="right"/>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В.ПУТИН</w:t>
      </w:r>
    </w:p>
    <w:p w:rsidR="00D27351" w:rsidRPr="00BB3E8D" w:rsidRDefault="00D27351" w:rsidP="00D27351">
      <w:pPr>
        <w:spacing w:after="0" w:line="240" w:lineRule="auto"/>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Москва, Кремль</w:t>
      </w:r>
    </w:p>
    <w:p w:rsidR="00D27351" w:rsidRPr="00BB3E8D" w:rsidRDefault="00D27351" w:rsidP="00D27351">
      <w:pPr>
        <w:spacing w:after="0" w:line="240" w:lineRule="auto"/>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29 декабря 2006 года</w:t>
      </w:r>
    </w:p>
    <w:p w:rsidR="00D27351" w:rsidRPr="00BB3E8D" w:rsidRDefault="00D27351" w:rsidP="00D27351">
      <w:pPr>
        <w:spacing w:after="0" w:line="240" w:lineRule="auto"/>
        <w:rPr>
          <w:rFonts w:ascii="Times New Roman" w:eastAsia="Times New Roman" w:hAnsi="Times New Roman" w:cs="Times New Roman"/>
          <w:sz w:val="16"/>
          <w:szCs w:val="16"/>
          <w:lang w:eastAsia="ru-RU"/>
        </w:rPr>
      </w:pPr>
      <w:r w:rsidRPr="00BB3E8D">
        <w:rPr>
          <w:rFonts w:ascii="Times New Roman" w:eastAsia="Times New Roman" w:hAnsi="Times New Roman" w:cs="Times New Roman"/>
          <w:sz w:val="16"/>
          <w:szCs w:val="16"/>
          <w:lang w:eastAsia="ru-RU"/>
        </w:rPr>
        <w:t>N 244-ФЗ</w:t>
      </w:r>
    </w:p>
    <w:p w:rsidR="00636F8A" w:rsidRPr="00BB3E8D" w:rsidRDefault="00636F8A" w:rsidP="00D27351">
      <w:pPr>
        <w:spacing w:after="0" w:line="240" w:lineRule="auto"/>
        <w:rPr>
          <w:rFonts w:ascii="Times New Roman" w:hAnsi="Times New Roman" w:cs="Times New Roman"/>
          <w:sz w:val="16"/>
          <w:szCs w:val="16"/>
        </w:rPr>
      </w:pPr>
    </w:p>
    <w:sectPr w:rsidR="00636F8A" w:rsidRPr="00BB3E8D" w:rsidSect="00D27351">
      <w:pgSz w:w="11906" w:h="16838"/>
      <w:pgMar w:top="567"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6E"/>
    <w:rsid w:val="00145B13"/>
    <w:rsid w:val="003C2F6E"/>
    <w:rsid w:val="00500FE7"/>
    <w:rsid w:val="00636F8A"/>
    <w:rsid w:val="00917B54"/>
    <w:rsid w:val="00BB3E8D"/>
    <w:rsid w:val="00D27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9976DE-E98A-4D51-A2AD-D722258E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597983">
      <w:bodyDiv w:val="1"/>
      <w:marLeft w:val="0"/>
      <w:marRight w:val="0"/>
      <w:marTop w:val="0"/>
      <w:marBottom w:val="0"/>
      <w:divBdr>
        <w:top w:val="none" w:sz="0" w:space="0" w:color="auto"/>
        <w:left w:val="none" w:sz="0" w:space="0" w:color="auto"/>
        <w:bottom w:val="none" w:sz="0" w:space="0" w:color="auto"/>
        <w:right w:val="none" w:sz="0" w:space="0" w:color="auto"/>
      </w:divBdr>
      <w:divsChild>
        <w:div w:id="1859611250">
          <w:marLeft w:val="0"/>
          <w:marRight w:val="0"/>
          <w:marTop w:val="0"/>
          <w:marBottom w:val="0"/>
          <w:divBdr>
            <w:top w:val="none" w:sz="0" w:space="0" w:color="auto"/>
            <w:left w:val="none" w:sz="0" w:space="0" w:color="auto"/>
            <w:bottom w:val="none" w:sz="0" w:space="0" w:color="auto"/>
            <w:right w:val="none" w:sz="0" w:space="0" w:color="auto"/>
          </w:divBdr>
        </w:div>
        <w:div w:id="2134783451">
          <w:marLeft w:val="560"/>
          <w:marRight w:val="0"/>
          <w:marTop w:val="120"/>
          <w:marBottom w:val="192"/>
          <w:divBdr>
            <w:top w:val="none" w:sz="0" w:space="0" w:color="auto"/>
            <w:left w:val="none" w:sz="0" w:space="0" w:color="auto"/>
            <w:bottom w:val="none" w:sz="0" w:space="0" w:color="auto"/>
            <w:right w:val="none" w:sz="0" w:space="0" w:color="auto"/>
          </w:divBdr>
          <w:divsChild>
            <w:div w:id="926113115">
              <w:marLeft w:val="0"/>
              <w:marRight w:val="0"/>
              <w:marTop w:val="0"/>
              <w:marBottom w:val="0"/>
              <w:divBdr>
                <w:top w:val="none" w:sz="0" w:space="0" w:color="auto"/>
                <w:left w:val="none" w:sz="0" w:space="0" w:color="auto"/>
                <w:bottom w:val="none" w:sz="0" w:space="0" w:color="auto"/>
                <w:right w:val="none" w:sz="0" w:space="0" w:color="auto"/>
              </w:divBdr>
              <w:divsChild>
                <w:div w:id="1092580891">
                  <w:marLeft w:val="0"/>
                  <w:marRight w:val="0"/>
                  <w:marTop w:val="0"/>
                  <w:marBottom w:val="0"/>
                  <w:divBdr>
                    <w:top w:val="none" w:sz="0" w:space="0" w:color="auto"/>
                    <w:left w:val="none" w:sz="0" w:space="0" w:color="auto"/>
                    <w:bottom w:val="none" w:sz="0" w:space="0" w:color="auto"/>
                    <w:right w:val="none" w:sz="0" w:space="0" w:color="auto"/>
                  </w:divBdr>
                </w:div>
                <w:div w:id="362483467">
                  <w:marLeft w:val="0"/>
                  <w:marRight w:val="0"/>
                  <w:marTop w:val="0"/>
                  <w:marBottom w:val="0"/>
                  <w:divBdr>
                    <w:top w:val="none" w:sz="0" w:space="0" w:color="auto"/>
                    <w:left w:val="none" w:sz="0" w:space="0" w:color="auto"/>
                    <w:bottom w:val="none" w:sz="0" w:space="0" w:color="auto"/>
                    <w:right w:val="none" w:sz="0" w:space="0" w:color="auto"/>
                  </w:divBdr>
                  <w:divsChild>
                    <w:div w:id="514081164">
                      <w:marLeft w:val="0"/>
                      <w:marRight w:val="0"/>
                      <w:marTop w:val="0"/>
                      <w:marBottom w:val="0"/>
                      <w:divBdr>
                        <w:top w:val="none" w:sz="0" w:space="0" w:color="auto"/>
                        <w:left w:val="none" w:sz="0" w:space="0" w:color="auto"/>
                        <w:bottom w:val="none" w:sz="0" w:space="0" w:color="auto"/>
                        <w:right w:val="none" w:sz="0" w:space="0" w:color="auto"/>
                      </w:divBdr>
                    </w:div>
                    <w:div w:id="862789068">
                      <w:marLeft w:val="0"/>
                      <w:marRight w:val="0"/>
                      <w:marTop w:val="0"/>
                      <w:marBottom w:val="0"/>
                      <w:divBdr>
                        <w:top w:val="none" w:sz="0" w:space="0" w:color="auto"/>
                        <w:left w:val="none" w:sz="0" w:space="0" w:color="auto"/>
                        <w:bottom w:val="none" w:sz="0" w:space="0" w:color="auto"/>
                        <w:right w:val="none" w:sz="0" w:space="0" w:color="auto"/>
                      </w:divBdr>
                    </w:div>
                    <w:div w:id="789670314">
                      <w:marLeft w:val="0"/>
                      <w:marRight w:val="0"/>
                      <w:marTop w:val="0"/>
                      <w:marBottom w:val="0"/>
                      <w:divBdr>
                        <w:top w:val="none" w:sz="0" w:space="0" w:color="auto"/>
                        <w:left w:val="none" w:sz="0" w:space="0" w:color="auto"/>
                        <w:bottom w:val="none" w:sz="0" w:space="0" w:color="auto"/>
                        <w:right w:val="none" w:sz="0" w:space="0" w:color="auto"/>
                      </w:divBdr>
                    </w:div>
                    <w:div w:id="1218315999">
                      <w:marLeft w:val="0"/>
                      <w:marRight w:val="0"/>
                      <w:marTop w:val="0"/>
                      <w:marBottom w:val="0"/>
                      <w:divBdr>
                        <w:top w:val="none" w:sz="0" w:space="0" w:color="auto"/>
                        <w:left w:val="none" w:sz="0" w:space="0" w:color="auto"/>
                        <w:bottom w:val="none" w:sz="0" w:space="0" w:color="auto"/>
                        <w:right w:val="none" w:sz="0" w:space="0" w:color="auto"/>
                      </w:divBdr>
                    </w:div>
                    <w:div w:id="619802940">
                      <w:marLeft w:val="0"/>
                      <w:marRight w:val="0"/>
                      <w:marTop w:val="0"/>
                      <w:marBottom w:val="0"/>
                      <w:divBdr>
                        <w:top w:val="none" w:sz="0" w:space="0" w:color="auto"/>
                        <w:left w:val="none" w:sz="0" w:space="0" w:color="auto"/>
                        <w:bottom w:val="none" w:sz="0" w:space="0" w:color="auto"/>
                        <w:right w:val="none" w:sz="0" w:space="0" w:color="auto"/>
                      </w:divBdr>
                    </w:div>
                    <w:div w:id="82320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8754">
          <w:marLeft w:val="0"/>
          <w:marRight w:val="0"/>
          <w:marTop w:val="0"/>
          <w:marBottom w:val="0"/>
          <w:divBdr>
            <w:top w:val="none" w:sz="0" w:space="0" w:color="auto"/>
            <w:left w:val="none" w:sz="0" w:space="0" w:color="auto"/>
            <w:bottom w:val="none" w:sz="0" w:space="0" w:color="auto"/>
            <w:right w:val="none" w:sz="0" w:space="0" w:color="auto"/>
          </w:divBdr>
          <w:divsChild>
            <w:div w:id="832842095">
              <w:marLeft w:val="560"/>
              <w:marRight w:val="0"/>
              <w:marTop w:val="0"/>
              <w:marBottom w:val="0"/>
              <w:divBdr>
                <w:top w:val="none" w:sz="0" w:space="0" w:color="auto"/>
                <w:left w:val="none" w:sz="0" w:space="0" w:color="auto"/>
                <w:bottom w:val="none" w:sz="0" w:space="0" w:color="auto"/>
                <w:right w:val="none" w:sz="0" w:space="0" w:color="auto"/>
              </w:divBdr>
            </w:div>
          </w:divsChild>
        </w:div>
        <w:div w:id="658508449">
          <w:marLeft w:val="0"/>
          <w:marRight w:val="0"/>
          <w:marTop w:val="0"/>
          <w:marBottom w:val="0"/>
          <w:divBdr>
            <w:top w:val="none" w:sz="0" w:space="0" w:color="auto"/>
            <w:left w:val="none" w:sz="0" w:space="0" w:color="auto"/>
            <w:bottom w:val="none" w:sz="0" w:space="0" w:color="auto"/>
            <w:right w:val="none" w:sz="0" w:space="0" w:color="auto"/>
          </w:divBdr>
          <w:divsChild>
            <w:div w:id="819227049">
              <w:marLeft w:val="560"/>
              <w:marRight w:val="0"/>
              <w:marTop w:val="0"/>
              <w:marBottom w:val="0"/>
              <w:divBdr>
                <w:top w:val="none" w:sz="0" w:space="0" w:color="auto"/>
                <w:left w:val="none" w:sz="0" w:space="0" w:color="auto"/>
                <w:bottom w:val="none" w:sz="0" w:space="0" w:color="auto"/>
                <w:right w:val="none" w:sz="0" w:space="0" w:color="auto"/>
              </w:divBdr>
            </w:div>
          </w:divsChild>
        </w:div>
        <w:div w:id="1464542443">
          <w:marLeft w:val="0"/>
          <w:marRight w:val="0"/>
          <w:marTop w:val="0"/>
          <w:marBottom w:val="0"/>
          <w:divBdr>
            <w:top w:val="none" w:sz="0" w:space="0" w:color="auto"/>
            <w:left w:val="none" w:sz="0" w:space="0" w:color="auto"/>
            <w:bottom w:val="none" w:sz="0" w:space="0" w:color="auto"/>
            <w:right w:val="none" w:sz="0" w:space="0" w:color="auto"/>
          </w:divBdr>
          <w:divsChild>
            <w:div w:id="1586838324">
              <w:marLeft w:val="560"/>
              <w:marRight w:val="0"/>
              <w:marTop w:val="0"/>
              <w:marBottom w:val="0"/>
              <w:divBdr>
                <w:top w:val="none" w:sz="0" w:space="0" w:color="auto"/>
                <w:left w:val="none" w:sz="0" w:space="0" w:color="auto"/>
                <w:bottom w:val="none" w:sz="0" w:space="0" w:color="auto"/>
                <w:right w:val="none" w:sz="0" w:space="0" w:color="auto"/>
              </w:divBdr>
            </w:div>
          </w:divsChild>
        </w:div>
        <w:div w:id="1117481891">
          <w:marLeft w:val="0"/>
          <w:marRight w:val="0"/>
          <w:marTop w:val="0"/>
          <w:marBottom w:val="48"/>
          <w:divBdr>
            <w:top w:val="none" w:sz="0" w:space="0" w:color="auto"/>
            <w:left w:val="none" w:sz="0" w:space="0" w:color="auto"/>
            <w:bottom w:val="none" w:sz="0" w:space="0" w:color="auto"/>
            <w:right w:val="none" w:sz="0" w:space="0" w:color="auto"/>
          </w:divBdr>
          <w:divsChild>
            <w:div w:id="1770544159">
              <w:marLeft w:val="560"/>
              <w:marRight w:val="0"/>
              <w:marTop w:val="0"/>
              <w:marBottom w:val="0"/>
              <w:divBdr>
                <w:top w:val="none" w:sz="0" w:space="0" w:color="auto"/>
                <w:left w:val="none" w:sz="0" w:space="0" w:color="auto"/>
                <w:bottom w:val="none" w:sz="0" w:space="0" w:color="auto"/>
                <w:right w:val="none" w:sz="0" w:space="0" w:color="auto"/>
              </w:divBdr>
            </w:div>
          </w:divsChild>
        </w:div>
        <w:div w:id="1186364736">
          <w:marLeft w:val="0"/>
          <w:marRight w:val="0"/>
          <w:marTop w:val="0"/>
          <w:marBottom w:val="0"/>
          <w:divBdr>
            <w:top w:val="none" w:sz="0" w:space="0" w:color="auto"/>
            <w:left w:val="none" w:sz="0" w:space="0" w:color="auto"/>
            <w:bottom w:val="none" w:sz="0" w:space="0" w:color="auto"/>
            <w:right w:val="none" w:sz="0" w:space="0" w:color="auto"/>
          </w:divBdr>
          <w:divsChild>
            <w:div w:id="1948270975">
              <w:marLeft w:val="560"/>
              <w:marRight w:val="0"/>
              <w:marTop w:val="0"/>
              <w:marBottom w:val="0"/>
              <w:divBdr>
                <w:top w:val="none" w:sz="0" w:space="0" w:color="auto"/>
                <w:left w:val="none" w:sz="0" w:space="0" w:color="auto"/>
                <w:bottom w:val="none" w:sz="0" w:space="0" w:color="auto"/>
                <w:right w:val="none" w:sz="0" w:space="0" w:color="auto"/>
              </w:divBdr>
            </w:div>
          </w:divsChild>
        </w:div>
        <w:div w:id="540048844">
          <w:marLeft w:val="560"/>
          <w:marRight w:val="0"/>
          <w:marTop w:val="120"/>
          <w:marBottom w:val="96"/>
          <w:divBdr>
            <w:top w:val="none" w:sz="0" w:space="0" w:color="auto"/>
            <w:left w:val="none" w:sz="0" w:space="0" w:color="auto"/>
            <w:bottom w:val="none" w:sz="0" w:space="0" w:color="auto"/>
            <w:right w:val="none" w:sz="0" w:space="0" w:color="auto"/>
          </w:divBdr>
        </w:div>
        <w:div w:id="1685134462">
          <w:marLeft w:val="0"/>
          <w:marRight w:val="0"/>
          <w:marTop w:val="0"/>
          <w:marBottom w:val="0"/>
          <w:divBdr>
            <w:top w:val="none" w:sz="0" w:space="0" w:color="auto"/>
            <w:left w:val="none" w:sz="0" w:space="0" w:color="auto"/>
            <w:bottom w:val="none" w:sz="0" w:space="0" w:color="auto"/>
            <w:right w:val="none" w:sz="0" w:space="0" w:color="auto"/>
          </w:divBdr>
          <w:divsChild>
            <w:div w:id="606229706">
              <w:marLeft w:val="560"/>
              <w:marRight w:val="0"/>
              <w:marTop w:val="0"/>
              <w:marBottom w:val="0"/>
              <w:divBdr>
                <w:top w:val="none" w:sz="0" w:space="0" w:color="auto"/>
                <w:left w:val="none" w:sz="0" w:space="0" w:color="auto"/>
                <w:bottom w:val="none" w:sz="0" w:space="0" w:color="auto"/>
                <w:right w:val="none" w:sz="0" w:space="0" w:color="auto"/>
              </w:divBdr>
            </w:div>
          </w:divsChild>
        </w:div>
        <w:div w:id="18702260">
          <w:marLeft w:val="0"/>
          <w:marRight w:val="0"/>
          <w:marTop w:val="0"/>
          <w:marBottom w:val="0"/>
          <w:divBdr>
            <w:top w:val="none" w:sz="0" w:space="0" w:color="auto"/>
            <w:left w:val="none" w:sz="0" w:space="0" w:color="auto"/>
            <w:bottom w:val="none" w:sz="0" w:space="0" w:color="auto"/>
            <w:right w:val="none" w:sz="0" w:space="0" w:color="auto"/>
          </w:divBdr>
          <w:divsChild>
            <w:div w:id="671298794">
              <w:marLeft w:val="560"/>
              <w:marRight w:val="0"/>
              <w:marTop w:val="0"/>
              <w:marBottom w:val="0"/>
              <w:divBdr>
                <w:top w:val="none" w:sz="0" w:space="0" w:color="auto"/>
                <w:left w:val="none" w:sz="0" w:space="0" w:color="auto"/>
                <w:bottom w:val="none" w:sz="0" w:space="0" w:color="auto"/>
                <w:right w:val="none" w:sz="0" w:space="0" w:color="auto"/>
              </w:divBdr>
            </w:div>
          </w:divsChild>
        </w:div>
        <w:div w:id="1993562648">
          <w:marLeft w:val="0"/>
          <w:marRight w:val="0"/>
          <w:marTop w:val="0"/>
          <w:marBottom w:val="0"/>
          <w:divBdr>
            <w:top w:val="none" w:sz="0" w:space="0" w:color="auto"/>
            <w:left w:val="none" w:sz="0" w:space="0" w:color="auto"/>
            <w:bottom w:val="none" w:sz="0" w:space="0" w:color="auto"/>
            <w:right w:val="none" w:sz="0" w:space="0" w:color="auto"/>
          </w:divBdr>
          <w:divsChild>
            <w:div w:id="853884311">
              <w:marLeft w:val="560"/>
              <w:marRight w:val="0"/>
              <w:marTop w:val="0"/>
              <w:marBottom w:val="0"/>
              <w:divBdr>
                <w:top w:val="none" w:sz="0" w:space="0" w:color="auto"/>
                <w:left w:val="none" w:sz="0" w:space="0" w:color="auto"/>
                <w:bottom w:val="none" w:sz="0" w:space="0" w:color="auto"/>
                <w:right w:val="none" w:sz="0" w:space="0" w:color="auto"/>
              </w:divBdr>
            </w:div>
          </w:divsChild>
        </w:div>
        <w:div w:id="1610316565">
          <w:marLeft w:val="0"/>
          <w:marRight w:val="0"/>
          <w:marTop w:val="0"/>
          <w:marBottom w:val="0"/>
          <w:divBdr>
            <w:top w:val="none" w:sz="0" w:space="0" w:color="auto"/>
            <w:left w:val="none" w:sz="0" w:space="0" w:color="auto"/>
            <w:bottom w:val="none" w:sz="0" w:space="0" w:color="auto"/>
            <w:right w:val="none" w:sz="0" w:space="0" w:color="auto"/>
          </w:divBdr>
          <w:divsChild>
            <w:div w:id="2019694526">
              <w:marLeft w:val="560"/>
              <w:marRight w:val="0"/>
              <w:marTop w:val="0"/>
              <w:marBottom w:val="0"/>
              <w:divBdr>
                <w:top w:val="none" w:sz="0" w:space="0" w:color="auto"/>
                <w:left w:val="none" w:sz="0" w:space="0" w:color="auto"/>
                <w:bottom w:val="none" w:sz="0" w:space="0" w:color="auto"/>
                <w:right w:val="none" w:sz="0" w:space="0" w:color="auto"/>
              </w:divBdr>
            </w:div>
          </w:divsChild>
        </w:div>
        <w:div w:id="1964842638">
          <w:marLeft w:val="0"/>
          <w:marRight w:val="0"/>
          <w:marTop w:val="0"/>
          <w:marBottom w:val="0"/>
          <w:divBdr>
            <w:top w:val="none" w:sz="0" w:space="0" w:color="auto"/>
            <w:left w:val="none" w:sz="0" w:space="0" w:color="auto"/>
            <w:bottom w:val="none" w:sz="0" w:space="0" w:color="auto"/>
            <w:right w:val="none" w:sz="0" w:space="0" w:color="auto"/>
          </w:divBdr>
          <w:divsChild>
            <w:div w:id="39091956">
              <w:marLeft w:val="560"/>
              <w:marRight w:val="0"/>
              <w:marTop w:val="0"/>
              <w:marBottom w:val="0"/>
              <w:divBdr>
                <w:top w:val="none" w:sz="0" w:space="0" w:color="auto"/>
                <w:left w:val="none" w:sz="0" w:space="0" w:color="auto"/>
                <w:bottom w:val="none" w:sz="0" w:space="0" w:color="auto"/>
                <w:right w:val="none" w:sz="0" w:space="0" w:color="auto"/>
              </w:divBdr>
            </w:div>
          </w:divsChild>
        </w:div>
        <w:div w:id="971784474">
          <w:marLeft w:val="0"/>
          <w:marRight w:val="0"/>
          <w:marTop w:val="0"/>
          <w:marBottom w:val="0"/>
          <w:divBdr>
            <w:top w:val="none" w:sz="0" w:space="0" w:color="auto"/>
            <w:left w:val="none" w:sz="0" w:space="0" w:color="auto"/>
            <w:bottom w:val="none" w:sz="0" w:space="0" w:color="auto"/>
            <w:right w:val="none" w:sz="0" w:space="0" w:color="auto"/>
          </w:divBdr>
          <w:divsChild>
            <w:div w:id="1358432932">
              <w:marLeft w:val="560"/>
              <w:marRight w:val="0"/>
              <w:marTop w:val="0"/>
              <w:marBottom w:val="0"/>
              <w:divBdr>
                <w:top w:val="none" w:sz="0" w:space="0" w:color="auto"/>
                <w:left w:val="none" w:sz="0" w:space="0" w:color="auto"/>
                <w:bottom w:val="none" w:sz="0" w:space="0" w:color="auto"/>
                <w:right w:val="none" w:sz="0" w:space="0" w:color="auto"/>
              </w:divBdr>
            </w:div>
          </w:divsChild>
        </w:div>
        <w:div w:id="518082894">
          <w:marLeft w:val="0"/>
          <w:marRight w:val="0"/>
          <w:marTop w:val="0"/>
          <w:marBottom w:val="0"/>
          <w:divBdr>
            <w:top w:val="none" w:sz="0" w:space="0" w:color="auto"/>
            <w:left w:val="none" w:sz="0" w:space="0" w:color="auto"/>
            <w:bottom w:val="none" w:sz="0" w:space="0" w:color="auto"/>
            <w:right w:val="none" w:sz="0" w:space="0" w:color="auto"/>
          </w:divBdr>
          <w:divsChild>
            <w:div w:id="787357258">
              <w:marLeft w:val="560"/>
              <w:marRight w:val="0"/>
              <w:marTop w:val="0"/>
              <w:marBottom w:val="0"/>
              <w:divBdr>
                <w:top w:val="none" w:sz="0" w:space="0" w:color="auto"/>
                <w:left w:val="none" w:sz="0" w:space="0" w:color="auto"/>
                <w:bottom w:val="none" w:sz="0" w:space="0" w:color="auto"/>
                <w:right w:val="none" w:sz="0" w:space="0" w:color="auto"/>
              </w:divBdr>
            </w:div>
          </w:divsChild>
        </w:div>
        <w:div w:id="1113205846">
          <w:marLeft w:val="0"/>
          <w:marRight w:val="0"/>
          <w:marTop w:val="0"/>
          <w:marBottom w:val="0"/>
          <w:divBdr>
            <w:top w:val="none" w:sz="0" w:space="0" w:color="auto"/>
            <w:left w:val="none" w:sz="0" w:space="0" w:color="auto"/>
            <w:bottom w:val="none" w:sz="0" w:space="0" w:color="auto"/>
            <w:right w:val="none" w:sz="0" w:space="0" w:color="auto"/>
          </w:divBdr>
          <w:divsChild>
            <w:div w:id="746683456">
              <w:marLeft w:val="560"/>
              <w:marRight w:val="0"/>
              <w:marTop w:val="0"/>
              <w:marBottom w:val="0"/>
              <w:divBdr>
                <w:top w:val="none" w:sz="0" w:space="0" w:color="auto"/>
                <w:left w:val="none" w:sz="0" w:space="0" w:color="auto"/>
                <w:bottom w:val="none" w:sz="0" w:space="0" w:color="auto"/>
                <w:right w:val="none" w:sz="0" w:space="0" w:color="auto"/>
              </w:divBdr>
            </w:div>
          </w:divsChild>
        </w:div>
        <w:div w:id="228998308">
          <w:marLeft w:val="0"/>
          <w:marRight w:val="0"/>
          <w:marTop w:val="0"/>
          <w:marBottom w:val="0"/>
          <w:divBdr>
            <w:top w:val="none" w:sz="0" w:space="0" w:color="auto"/>
            <w:left w:val="none" w:sz="0" w:space="0" w:color="auto"/>
            <w:bottom w:val="none" w:sz="0" w:space="0" w:color="auto"/>
            <w:right w:val="none" w:sz="0" w:space="0" w:color="auto"/>
          </w:divBdr>
          <w:divsChild>
            <w:div w:id="2090079357">
              <w:marLeft w:val="560"/>
              <w:marRight w:val="0"/>
              <w:marTop w:val="0"/>
              <w:marBottom w:val="0"/>
              <w:divBdr>
                <w:top w:val="none" w:sz="0" w:space="0" w:color="auto"/>
                <w:left w:val="none" w:sz="0" w:space="0" w:color="auto"/>
                <w:bottom w:val="none" w:sz="0" w:space="0" w:color="auto"/>
                <w:right w:val="none" w:sz="0" w:space="0" w:color="auto"/>
              </w:divBdr>
            </w:div>
          </w:divsChild>
        </w:div>
        <w:div w:id="1023284067">
          <w:marLeft w:val="0"/>
          <w:marRight w:val="0"/>
          <w:marTop w:val="0"/>
          <w:marBottom w:val="48"/>
          <w:divBdr>
            <w:top w:val="none" w:sz="0" w:space="0" w:color="auto"/>
            <w:left w:val="none" w:sz="0" w:space="0" w:color="auto"/>
            <w:bottom w:val="none" w:sz="0" w:space="0" w:color="auto"/>
            <w:right w:val="none" w:sz="0" w:space="0" w:color="auto"/>
          </w:divBdr>
          <w:divsChild>
            <w:div w:id="1899509155">
              <w:marLeft w:val="560"/>
              <w:marRight w:val="0"/>
              <w:marTop w:val="0"/>
              <w:marBottom w:val="0"/>
              <w:divBdr>
                <w:top w:val="none" w:sz="0" w:space="0" w:color="auto"/>
                <w:left w:val="none" w:sz="0" w:space="0" w:color="auto"/>
                <w:bottom w:val="none" w:sz="0" w:space="0" w:color="auto"/>
                <w:right w:val="none" w:sz="0" w:space="0" w:color="auto"/>
              </w:divBdr>
            </w:div>
          </w:divsChild>
        </w:div>
        <w:div w:id="652756118">
          <w:marLeft w:val="0"/>
          <w:marRight w:val="0"/>
          <w:marTop w:val="0"/>
          <w:marBottom w:val="48"/>
          <w:divBdr>
            <w:top w:val="none" w:sz="0" w:space="0" w:color="auto"/>
            <w:left w:val="none" w:sz="0" w:space="0" w:color="auto"/>
            <w:bottom w:val="none" w:sz="0" w:space="0" w:color="auto"/>
            <w:right w:val="none" w:sz="0" w:space="0" w:color="auto"/>
          </w:divBdr>
          <w:divsChild>
            <w:div w:id="947392387">
              <w:marLeft w:val="560"/>
              <w:marRight w:val="0"/>
              <w:marTop w:val="0"/>
              <w:marBottom w:val="0"/>
              <w:divBdr>
                <w:top w:val="none" w:sz="0" w:space="0" w:color="auto"/>
                <w:left w:val="none" w:sz="0" w:space="0" w:color="auto"/>
                <w:bottom w:val="none" w:sz="0" w:space="0" w:color="auto"/>
                <w:right w:val="none" w:sz="0" w:space="0" w:color="auto"/>
              </w:divBdr>
            </w:div>
          </w:divsChild>
        </w:div>
        <w:div w:id="483595274">
          <w:marLeft w:val="0"/>
          <w:marRight w:val="0"/>
          <w:marTop w:val="0"/>
          <w:marBottom w:val="0"/>
          <w:divBdr>
            <w:top w:val="none" w:sz="0" w:space="0" w:color="auto"/>
            <w:left w:val="none" w:sz="0" w:space="0" w:color="auto"/>
            <w:bottom w:val="none" w:sz="0" w:space="0" w:color="auto"/>
            <w:right w:val="none" w:sz="0" w:space="0" w:color="auto"/>
          </w:divBdr>
          <w:divsChild>
            <w:div w:id="1325283006">
              <w:marLeft w:val="560"/>
              <w:marRight w:val="0"/>
              <w:marTop w:val="0"/>
              <w:marBottom w:val="0"/>
              <w:divBdr>
                <w:top w:val="none" w:sz="0" w:space="0" w:color="auto"/>
                <w:left w:val="none" w:sz="0" w:space="0" w:color="auto"/>
                <w:bottom w:val="none" w:sz="0" w:space="0" w:color="auto"/>
                <w:right w:val="none" w:sz="0" w:space="0" w:color="auto"/>
              </w:divBdr>
            </w:div>
          </w:divsChild>
        </w:div>
        <w:div w:id="295336843">
          <w:marLeft w:val="0"/>
          <w:marRight w:val="0"/>
          <w:marTop w:val="0"/>
          <w:marBottom w:val="0"/>
          <w:divBdr>
            <w:top w:val="none" w:sz="0" w:space="0" w:color="auto"/>
            <w:left w:val="none" w:sz="0" w:space="0" w:color="auto"/>
            <w:bottom w:val="none" w:sz="0" w:space="0" w:color="auto"/>
            <w:right w:val="none" w:sz="0" w:space="0" w:color="auto"/>
          </w:divBdr>
          <w:divsChild>
            <w:div w:id="1390760823">
              <w:marLeft w:val="560"/>
              <w:marRight w:val="0"/>
              <w:marTop w:val="0"/>
              <w:marBottom w:val="0"/>
              <w:divBdr>
                <w:top w:val="none" w:sz="0" w:space="0" w:color="auto"/>
                <w:left w:val="none" w:sz="0" w:space="0" w:color="auto"/>
                <w:bottom w:val="none" w:sz="0" w:space="0" w:color="auto"/>
                <w:right w:val="none" w:sz="0" w:space="0" w:color="auto"/>
              </w:divBdr>
            </w:div>
          </w:divsChild>
        </w:div>
        <w:div w:id="1767460284">
          <w:marLeft w:val="0"/>
          <w:marRight w:val="0"/>
          <w:marTop w:val="0"/>
          <w:marBottom w:val="0"/>
          <w:divBdr>
            <w:top w:val="none" w:sz="0" w:space="0" w:color="auto"/>
            <w:left w:val="none" w:sz="0" w:space="0" w:color="auto"/>
            <w:bottom w:val="none" w:sz="0" w:space="0" w:color="auto"/>
            <w:right w:val="none" w:sz="0" w:space="0" w:color="auto"/>
          </w:divBdr>
          <w:divsChild>
            <w:div w:id="538736624">
              <w:marLeft w:val="560"/>
              <w:marRight w:val="0"/>
              <w:marTop w:val="0"/>
              <w:marBottom w:val="0"/>
              <w:divBdr>
                <w:top w:val="none" w:sz="0" w:space="0" w:color="auto"/>
                <w:left w:val="none" w:sz="0" w:space="0" w:color="auto"/>
                <w:bottom w:val="none" w:sz="0" w:space="0" w:color="auto"/>
                <w:right w:val="none" w:sz="0" w:space="0" w:color="auto"/>
              </w:divBdr>
            </w:div>
          </w:divsChild>
        </w:div>
        <w:div w:id="2013875567">
          <w:marLeft w:val="0"/>
          <w:marRight w:val="0"/>
          <w:marTop w:val="0"/>
          <w:marBottom w:val="0"/>
          <w:divBdr>
            <w:top w:val="none" w:sz="0" w:space="0" w:color="auto"/>
            <w:left w:val="none" w:sz="0" w:space="0" w:color="auto"/>
            <w:bottom w:val="none" w:sz="0" w:space="0" w:color="auto"/>
            <w:right w:val="none" w:sz="0" w:space="0" w:color="auto"/>
          </w:divBdr>
          <w:divsChild>
            <w:div w:id="1070074680">
              <w:marLeft w:val="560"/>
              <w:marRight w:val="0"/>
              <w:marTop w:val="0"/>
              <w:marBottom w:val="0"/>
              <w:divBdr>
                <w:top w:val="none" w:sz="0" w:space="0" w:color="auto"/>
                <w:left w:val="none" w:sz="0" w:space="0" w:color="auto"/>
                <w:bottom w:val="none" w:sz="0" w:space="0" w:color="auto"/>
                <w:right w:val="none" w:sz="0" w:space="0" w:color="auto"/>
              </w:divBdr>
            </w:div>
          </w:divsChild>
        </w:div>
        <w:div w:id="1083643227">
          <w:marLeft w:val="0"/>
          <w:marRight w:val="0"/>
          <w:marTop w:val="0"/>
          <w:marBottom w:val="0"/>
          <w:divBdr>
            <w:top w:val="none" w:sz="0" w:space="0" w:color="auto"/>
            <w:left w:val="none" w:sz="0" w:space="0" w:color="auto"/>
            <w:bottom w:val="none" w:sz="0" w:space="0" w:color="auto"/>
            <w:right w:val="none" w:sz="0" w:space="0" w:color="auto"/>
          </w:divBdr>
          <w:divsChild>
            <w:div w:id="1059405153">
              <w:marLeft w:val="560"/>
              <w:marRight w:val="0"/>
              <w:marTop w:val="0"/>
              <w:marBottom w:val="0"/>
              <w:divBdr>
                <w:top w:val="none" w:sz="0" w:space="0" w:color="auto"/>
                <w:left w:val="none" w:sz="0" w:space="0" w:color="auto"/>
                <w:bottom w:val="none" w:sz="0" w:space="0" w:color="auto"/>
                <w:right w:val="none" w:sz="0" w:space="0" w:color="auto"/>
              </w:divBdr>
            </w:div>
          </w:divsChild>
        </w:div>
        <w:div w:id="2146656041">
          <w:marLeft w:val="0"/>
          <w:marRight w:val="0"/>
          <w:marTop w:val="0"/>
          <w:marBottom w:val="48"/>
          <w:divBdr>
            <w:top w:val="none" w:sz="0" w:space="0" w:color="auto"/>
            <w:left w:val="none" w:sz="0" w:space="0" w:color="auto"/>
            <w:bottom w:val="none" w:sz="0" w:space="0" w:color="auto"/>
            <w:right w:val="none" w:sz="0" w:space="0" w:color="auto"/>
          </w:divBdr>
          <w:divsChild>
            <w:div w:id="1388839295">
              <w:marLeft w:val="560"/>
              <w:marRight w:val="0"/>
              <w:marTop w:val="0"/>
              <w:marBottom w:val="0"/>
              <w:divBdr>
                <w:top w:val="none" w:sz="0" w:space="0" w:color="auto"/>
                <w:left w:val="none" w:sz="0" w:space="0" w:color="auto"/>
                <w:bottom w:val="none" w:sz="0" w:space="0" w:color="auto"/>
                <w:right w:val="none" w:sz="0" w:space="0" w:color="auto"/>
              </w:divBdr>
            </w:div>
          </w:divsChild>
        </w:div>
        <w:div w:id="572008097">
          <w:marLeft w:val="0"/>
          <w:marRight w:val="0"/>
          <w:marTop w:val="0"/>
          <w:marBottom w:val="48"/>
          <w:divBdr>
            <w:top w:val="none" w:sz="0" w:space="0" w:color="auto"/>
            <w:left w:val="none" w:sz="0" w:space="0" w:color="auto"/>
            <w:bottom w:val="none" w:sz="0" w:space="0" w:color="auto"/>
            <w:right w:val="none" w:sz="0" w:space="0" w:color="auto"/>
          </w:divBdr>
          <w:divsChild>
            <w:div w:id="1079136055">
              <w:marLeft w:val="560"/>
              <w:marRight w:val="0"/>
              <w:marTop w:val="0"/>
              <w:marBottom w:val="0"/>
              <w:divBdr>
                <w:top w:val="none" w:sz="0" w:space="0" w:color="auto"/>
                <w:left w:val="none" w:sz="0" w:space="0" w:color="auto"/>
                <w:bottom w:val="none" w:sz="0" w:space="0" w:color="auto"/>
                <w:right w:val="none" w:sz="0" w:space="0" w:color="auto"/>
              </w:divBdr>
            </w:div>
          </w:divsChild>
        </w:div>
        <w:div w:id="1392076812">
          <w:marLeft w:val="0"/>
          <w:marRight w:val="0"/>
          <w:marTop w:val="0"/>
          <w:marBottom w:val="0"/>
          <w:divBdr>
            <w:top w:val="none" w:sz="0" w:space="0" w:color="auto"/>
            <w:left w:val="none" w:sz="0" w:space="0" w:color="auto"/>
            <w:bottom w:val="none" w:sz="0" w:space="0" w:color="auto"/>
            <w:right w:val="none" w:sz="0" w:space="0" w:color="auto"/>
          </w:divBdr>
          <w:divsChild>
            <w:div w:id="46102198">
              <w:marLeft w:val="560"/>
              <w:marRight w:val="0"/>
              <w:marTop w:val="0"/>
              <w:marBottom w:val="0"/>
              <w:divBdr>
                <w:top w:val="none" w:sz="0" w:space="0" w:color="auto"/>
                <w:left w:val="none" w:sz="0" w:space="0" w:color="auto"/>
                <w:bottom w:val="none" w:sz="0" w:space="0" w:color="auto"/>
                <w:right w:val="none" w:sz="0" w:space="0" w:color="auto"/>
              </w:divBdr>
            </w:div>
          </w:divsChild>
        </w:div>
        <w:div w:id="1885218668">
          <w:marLeft w:val="0"/>
          <w:marRight w:val="0"/>
          <w:marTop w:val="0"/>
          <w:marBottom w:val="0"/>
          <w:divBdr>
            <w:top w:val="none" w:sz="0" w:space="0" w:color="auto"/>
            <w:left w:val="none" w:sz="0" w:space="0" w:color="auto"/>
            <w:bottom w:val="none" w:sz="0" w:space="0" w:color="auto"/>
            <w:right w:val="none" w:sz="0" w:space="0" w:color="auto"/>
          </w:divBdr>
          <w:divsChild>
            <w:div w:id="719935123">
              <w:marLeft w:val="560"/>
              <w:marRight w:val="0"/>
              <w:marTop w:val="0"/>
              <w:marBottom w:val="0"/>
              <w:divBdr>
                <w:top w:val="none" w:sz="0" w:space="0" w:color="auto"/>
                <w:left w:val="none" w:sz="0" w:space="0" w:color="auto"/>
                <w:bottom w:val="none" w:sz="0" w:space="0" w:color="auto"/>
                <w:right w:val="none" w:sz="0" w:space="0" w:color="auto"/>
              </w:divBdr>
            </w:div>
          </w:divsChild>
        </w:div>
        <w:div w:id="1952929295">
          <w:marLeft w:val="0"/>
          <w:marRight w:val="0"/>
          <w:marTop w:val="0"/>
          <w:marBottom w:val="48"/>
          <w:divBdr>
            <w:top w:val="none" w:sz="0" w:space="0" w:color="auto"/>
            <w:left w:val="none" w:sz="0" w:space="0" w:color="auto"/>
            <w:bottom w:val="none" w:sz="0" w:space="0" w:color="auto"/>
            <w:right w:val="none" w:sz="0" w:space="0" w:color="auto"/>
          </w:divBdr>
          <w:divsChild>
            <w:div w:id="1725443995">
              <w:marLeft w:val="560"/>
              <w:marRight w:val="0"/>
              <w:marTop w:val="0"/>
              <w:marBottom w:val="0"/>
              <w:divBdr>
                <w:top w:val="none" w:sz="0" w:space="0" w:color="auto"/>
                <w:left w:val="none" w:sz="0" w:space="0" w:color="auto"/>
                <w:bottom w:val="none" w:sz="0" w:space="0" w:color="auto"/>
                <w:right w:val="none" w:sz="0" w:space="0" w:color="auto"/>
              </w:divBdr>
            </w:div>
          </w:divsChild>
        </w:div>
        <w:div w:id="306862797">
          <w:marLeft w:val="560"/>
          <w:marRight w:val="0"/>
          <w:marTop w:val="120"/>
          <w:marBottom w:val="96"/>
          <w:divBdr>
            <w:top w:val="none" w:sz="0" w:space="0" w:color="auto"/>
            <w:left w:val="none" w:sz="0" w:space="0" w:color="auto"/>
            <w:bottom w:val="none" w:sz="0" w:space="0" w:color="auto"/>
            <w:right w:val="none" w:sz="0" w:space="0" w:color="auto"/>
          </w:divBdr>
        </w:div>
        <w:div w:id="337579210">
          <w:marLeft w:val="0"/>
          <w:marRight w:val="0"/>
          <w:marTop w:val="0"/>
          <w:marBottom w:val="0"/>
          <w:divBdr>
            <w:top w:val="none" w:sz="0" w:space="0" w:color="auto"/>
            <w:left w:val="none" w:sz="0" w:space="0" w:color="auto"/>
            <w:bottom w:val="none" w:sz="0" w:space="0" w:color="auto"/>
            <w:right w:val="none" w:sz="0" w:space="0" w:color="auto"/>
          </w:divBdr>
          <w:divsChild>
            <w:div w:id="450900008">
              <w:marLeft w:val="560"/>
              <w:marRight w:val="0"/>
              <w:marTop w:val="0"/>
              <w:marBottom w:val="0"/>
              <w:divBdr>
                <w:top w:val="none" w:sz="0" w:space="0" w:color="auto"/>
                <w:left w:val="none" w:sz="0" w:space="0" w:color="auto"/>
                <w:bottom w:val="none" w:sz="0" w:space="0" w:color="auto"/>
                <w:right w:val="none" w:sz="0" w:space="0" w:color="auto"/>
              </w:divBdr>
            </w:div>
          </w:divsChild>
        </w:div>
        <w:div w:id="1011377257">
          <w:marLeft w:val="560"/>
          <w:marRight w:val="0"/>
          <w:marTop w:val="0"/>
          <w:marBottom w:val="96"/>
          <w:divBdr>
            <w:top w:val="none" w:sz="0" w:space="0" w:color="auto"/>
            <w:left w:val="none" w:sz="0" w:space="0" w:color="auto"/>
            <w:bottom w:val="none" w:sz="0" w:space="0" w:color="auto"/>
            <w:right w:val="none" w:sz="0" w:space="0" w:color="auto"/>
          </w:divBdr>
        </w:div>
        <w:div w:id="509562192">
          <w:marLeft w:val="0"/>
          <w:marRight w:val="0"/>
          <w:marTop w:val="0"/>
          <w:marBottom w:val="0"/>
          <w:divBdr>
            <w:top w:val="none" w:sz="0" w:space="0" w:color="auto"/>
            <w:left w:val="none" w:sz="0" w:space="0" w:color="auto"/>
            <w:bottom w:val="none" w:sz="0" w:space="0" w:color="auto"/>
            <w:right w:val="none" w:sz="0" w:space="0" w:color="auto"/>
          </w:divBdr>
          <w:divsChild>
            <w:div w:id="643000071">
              <w:marLeft w:val="560"/>
              <w:marRight w:val="0"/>
              <w:marTop w:val="0"/>
              <w:marBottom w:val="0"/>
              <w:divBdr>
                <w:top w:val="none" w:sz="0" w:space="0" w:color="auto"/>
                <w:left w:val="none" w:sz="0" w:space="0" w:color="auto"/>
                <w:bottom w:val="none" w:sz="0" w:space="0" w:color="auto"/>
                <w:right w:val="none" w:sz="0" w:space="0" w:color="auto"/>
              </w:divBdr>
            </w:div>
          </w:divsChild>
        </w:div>
        <w:div w:id="144511006">
          <w:marLeft w:val="560"/>
          <w:marRight w:val="0"/>
          <w:marTop w:val="0"/>
          <w:marBottom w:val="96"/>
          <w:divBdr>
            <w:top w:val="none" w:sz="0" w:space="0" w:color="auto"/>
            <w:left w:val="none" w:sz="0" w:space="0" w:color="auto"/>
            <w:bottom w:val="none" w:sz="0" w:space="0" w:color="auto"/>
            <w:right w:val="none" w:sz="0" w:space="0" w:color="auto"/>
          </w:divBdr>
        </w:div>
        <w:div w:id="1543395242">
          <w:marLeft w:val="0"/>
          <w:marRight w:val="0"/>
          <w:marTop w:val="0"/>
          <w:marBottom w:val="0"/>
          <w:divBdr>
            <w:top w:val="none" w:sz="0" w:space="0" w:color="auto"/>
            <w:left w:val="none" w:sz="0" w:space="0" w:color="auto"/>
            <w:bottom w:val="none" w:sz="0" w:space="0" w:color="auto"/>
            <w:right w:val="none" w:sz="0" w:space="0" w:color="auto"/>
          </w:divBdr>
          <w:divsChild>
            <w:div w:id="1524786145">
              <w:marLeft w:val="560"/>
              <w:marRight w:val="0"/>
              <w:marTop w:val="0"/>
              <w:marBottom w:val="0"/>
              <w:divBdr>
                <w:top w:val="none" w:sz="0" w:space="0" w:color="auto"/>
                <w:left w:val="none" w:sz="0" w:space="0" w:color="auto"/>
                <w:bottom w:val="none" w:sz="0" w:space="0" w:color="auto"/>
                <w:right w:val="none" w:sz="0" w:space="0" w:color="auto"/>
              </w:divBdr>
            </w:div>
          </w:divsChild>
        </w:div>
        <w:div w:id="1867014097">
          <w:marLeft w:val="0"/>
          <w:marRight w:val="0"/>
          <w:marTop w:val="0"/>
          <w:marBottom w:val="48"/>
          <w:divBdr>
            <w:top w:val="none" w:sz="0" w:space="0" w:color="auto"/>
            <w:left w:val="none" w:sz="0" w:space="0" w:color="auto"/>
            <w:bottom w:val="none" w:sz="0" w:space="0" w:color="auto"/>
            <w:right w:val="none" w:sz="0" w:space="0" w:color="auto"/>
          </w:divBdr>
          <w:divsChild>
            <w:div w:id="901600728">
              <w:marLeft w:val="560"/>
              <w:marRight w:val="0"/>
              <w:marTop w:val="0"/>
              <w:marBottom w:val="0"/>
              <w:divBdr>
                <w:top w:val="none" w:sz="0" w:space="0" w:color="auto"/>
                <w:left w:val="none" w:sz="0" w:space="0" w:color="auto"/>
                <w:bottom w:val="none" w:sz="0" w:space="0" w:color="auto"/>
                <w:right w:val="none" w:sz="0" w:space="0" w:color="auto"/>
              </w:divBdr>
            </w:div>
          </w:divsChild>
        </w:div>
        <w:div w:id="1958096803">
          <w:marLeft w:val="0"/>
          <w:marRight w:val="0"/>
          <w:marTop w:val="0"/>
          <w:marBottom w:val="48"/>
          <w:divBdr>
            <w:top w:val="none" w:sz="0" w:space="0" w:color="auto"/>
            <w:left w:val="none" w:sz="0" w:space="0" w:color="auto"/>
            <w:bottom w:val="none" w:sz="0" w:space="0" w:color="auto"/>
            <w:right w:val="none" w:sz="0" w:space="0" w:color="auto"/>
          </w:divBdr>
          <w:divsChild>
            <w:div w:id="159515011">
              <w:marLeft w:val="560"/>
              <w:marRight w:val="0"/>
              <w:marTop w:val="0"/>
              <w:marBottom w:val="0"/>
              <w:divBdr>
                <w:top w:val="none" w:sz="0" w:space="0" w:color="auto"/>
                <w:left w:val="none" w:sz="0" w:space="0" w:color="auto"/>
                <w:bottom w:val="none" w:sz="0" w:space="0" w:color="auto"/>
                <w:right w:val="none" w:sz="0" w:space="0" w:color="auto"/>
              </w:divBdr>
            </w:div>
          </w:divsChild>
        </w:div>
        <w:div w:id="2001158438">
          <w:marLeft w:val="0"/>
          <w:marRight w:val="0"/>
          <w:marTop w:val="0"/>
          <w:marBottom w:val="48"/>
          <w:divBdr>
            <w:top w:val="none" w:sz="0" w:space="0" w:color="auto"/>
            <w:left w:val="none" w:sz="0" w:space="0" w:color="auto"/>
            <w:bottom w:val="none" w:sz="0" w:space="0" w:color="auto"/>
            <w:right w:val="none" w:sz="0" w:space="0" w:color="auto"/>
          </w:divBdr>
          <w:divsChild>
            <w:div w:id="625934803">
              <w:marLeft w:val="560"/>
              <w:marRight w:val="0"/>
              <w:marTop w:val="0"/>
              <w:marBottom w:val="0"/>
              <w:divBdr>
                <w:top w:val="none" w:sz="0" w:space="0" w:color="auto"/>
                <w:left w:val="none" w:sz="0" w:space="0" w:color="auto"/>
                <w:bottom w:val="none" w:sz="0" w:space="0" w:color="auto"/>
                <w:right w:val="none" w:sz="0" w:space="0" w:color="auto"/>
              </w:divBdr>
            </w:div>
          </w:divsChild>
        </w:div>
        <w:div w:id="275406049">
          <w:marLeft w:val="0"/>
          <w:marRight w:val="0"/>
          <w:marTop w:val="0"/>
          <w:marBottom w:val="48"/>
          <w:divBdr>
            <w:top w:val="none" w:sz="0" w:space="0" w:color="auto"/>
            <w:left w:val="none" w:sz="0" w:space="0" w:color="auto"/>
            <w:bottom w:val="none" w:sz="0" w:space="0" w:color="auto"/>
            <w:right w:val="none" w:sz="0" w:space="0" w:color="auto"/>
          </w:divBdr>
          <w:divsChild>
            <w:div w:id="1960648957">
              <w:marLeft w:val="560"/>
              <w:marRight w:val="0"/>
              <w:marTop w:val="0"/>
              <w:marBottom w:val="0"/>
              <w:divBdr>
                <w:top w:val="none" w:sz="0" w:space="0" w:color="auto"/>
                <w:left w:val="none" w:sz="0" w:space="0" w:color="auto"/>
                <w:bottom w:val="none" w:sz="0" w:space="0" w:color="auto"/>
                <w:right w:val="none" w:sz="0" w:space="0" w:color="auto"/>
              </w:divBdr>
            </w:div>
          </w:divsChild>
        </w:div>
        <w:div w:id="1260219013">
          <w:marLeft w:val="0"/>
          <w:marRight w:val="0"/>
          <w:marTop w:val="0"/>
          <w:marBottom w:val="48"/>
          <w:divBdr>
            <w:top w:val="none" w:sz="0" w:space="0" w:color="auto"/>
            <w:left w:val="none" w:sz="0" w:space="0" w:color="auto"/>
            <w:bottom w:val="none" w:sz="0" w:space="0" w:color="auto"/>
            <w:right w:val="none" w:sz="0" w:space="0" w:color="auto"/>
          </w:divBdr>
          <w:divsChild>
            <w:div w:id="1155684283">
              <w:marLeft w:val="560"/>
              <w:marRight w:val="0"/>
              <w:marTop w:val="0"/>
              <w:marBottom w:val="0"/>
              <w:divBdr>
                <w:top w:val="none" w:sz="0" w:space="0" w:color="auto"/>
                <w:left w:val="none" w:sz="0" w:space="0" w:color="auto"/>
                <w:bottom w:val="none" w:sz="0" w:space="0" w:color="auto"/>
                <w:right w:val="none" w:sz="0" w:space="0" w:color="auto"/>
              </w:divBdr>
            </w:div>
          </w:divsChild>
        </w:div>
        <w:div w:id="932010159">
          <w:marLeft w:val="0"/>
          <w:marRight w:val="0"/>
          <w:marTop w:val="0"/>
          <w:marBottom w:val="0"/>
          <w:divBdr>
            <w:top w:val="none" w:sz="0" w:space="0" w:color="auto"/>
            <w:left w:val="none" w:sz="0" w:space="0" w:color="auto"/>
            <w:bottom w:val="none" w:sz="0" w:space="0" w:color="auto"/>
            <w:right w:val="none" w:sz="0" w:space="0" w:color="auto"/>
          </w:divBdr>
          <w:divsChild>
            <w:div w:id="394360728">
              <w:marLeft w:val="560"/>
              <w:marRight w:val="0"/>
              <w:marTop w:val="0"/>
              <w:marBottom w:val="0"/>
              <w:divBdr>
                <w:top w:val="none" w:sz="0" w:space="0" w:color="auto"/>
                <w:left w:val="none" w:sz="0" w:space="0" w:color="auto"/>
                <w:bottom w:val="none" w:sz="0" w:space="0" w:color="auto"/>
                <w:right w:val="none" w:sz="0" w:space="0" w:color="auto"/>
              </w:divBdr>
            </w:div>
          </w:divsChild>
        </w:div>
        <w:div w:id="1508713808">
          <w:marLeft w:val="0"/>
          <w:marRight w:val="0"/>
          <w:marTop w:val="0"/>
          <w:marBottom w:val="0"/>
          <w:divBdr>
            <w:top w:val="none" w:sz="0" w:space="0" w:color="auto"/>
            <w:left w:val="none" w:sz="0" w:space="0" w:color="auto"/>
            <w:bottom w:val="none" w:sz="0" w:space="0" w:color="auto"/>
            <w:right w:val="none" w:sz="0" w:space="0" w:color="auto"/>
          </w:divBdr>
          <w:divsChild>
            <w:div w:id="1358579566">
              <w:marLeft w:val="560"/>
              <w:marRight w:val="0"/>
              <w:marTop w:val="0"/>
              <w:marBottom w:val="0"/>
              <w:divBdr>
                <w:top w:val="none" w:sz="0" w:space="0" w:color="auto"/>
                <w:left w:val="none" w:sz="0" w:space="0" w:color="auto"/>
                <w:bottom w:val="none" w:sz="0" w:space="0" w:color="auto"/>
                <w:right w:val="none" w:sz="0" w:space="0" w:color="auto"/>
              </w:divBdr>
            </w:div>
          </w:divsChild>
        </w:div>
        <w:div w:id="1495992009">
          <w:marLeft w:val="0"/>
          <w:marRight w:val="0"/>
          <w:marTop w:val="0"/>
          <w:marBottom w:val="0"/>
          <w:divBdr>
            <w:top w:val="none" w:sz="0" w:space="0" w:color="auto"/>
            <w:left w:val="none" w:sz="0" w:space="0" w:color="auto"/>
            <w:bottom w:val="none" w:sz="0" w:space="0" w:color="auto"/>
            <w:right w:val="none" w:sz="0" w:space="0" w:color="auto"/>
          </w:divBdr>
          <w:divsChild>
            <w:div w:id="2034068436">
              <w:marLeft w:val="560"/>
              <w:marRight w:val="0"/>
              <w:marTop w:val="0"/>
              <w:marBottom w:val="0"/>
              <w:divBdr>
                <w:top w:val="none" w:sz="0" w:space="0" w:color="auto"/>
                <w:left w:val="none" w:sz="0" w:space="0" w:color="auto"/>
                <w:bottom w:val="none" w:sz="0" w:space="0" w:color="auto"/>
                <w:right w:val="none" w:sz="0" w:space="0" w:color="auto"/>
              </w:divBdr>
            </w:div>
          </w:divsChild>
        </w:div>
        <w:div w:id="1356035714">
          <w:marLeft w:val="0"/>
          <w:marRight w:val="0"/>
          <w:marTop w:val="0"/>
          <w:marBottom w:val="0"/>
          <w:divBdr>
            <w:top w:val="none" w:sz="0" w:space="0" w:color="auto"/>
            <w:left w:val="none" w:sz="0" w:space="0" w:color="auto"/>
            <w:bottom w:val="none" w:sz="0" w:space="0" w:color="auto"/>
            <w:right w:val="none" w:sz="0" w:space="0" w:color="auto"/>
          </w:divBdr>
          <w:divsChild>
            <w:div w:id="1483885155">
              <w:marLeft w:val="560"/>
              <w:marRight w:val="0"/>
              <w:marTop w:val="0"/>
              <w:marBottom w:val="0"/>
              <w:divBdr>
                <w:top w:val="none" w:sz="0" w:space="0" w:color="auto"/>
                <w:left w:val="none" w:sz="0" w:space="0" w:color="auto"/>
                <w:bottom w:val="none" w:sz="0" w:space="0" w:color="auto"/>
                <w:right w:val="none" w:sz="0" w:space="0" w:color="auto"/>
              </w:divBdr>
            </w:div>
          </w:divsChild>
        </w:div>
        <w:div w:id="978387320">
          <w:marLeft w:val="0"/>
          <w:marRight w:val="0"/>
          <w:marTop w:val="0"/>
          <w:marBottom w:val="0"/>
          <w:divBdr>
            <w:top w:val="none" w:sz="0" w:space="0" w:color="auto"/>
            <w:left w:val="none" w:sz="0" w:space="0" w:color="auto"/>
            <w:bottom w:val="none" w:sz="0" w:space="0" w:color="auto"/>
            <w:right w:val="none" w:sz="0" w:space="0" w:color="auto"/>
          </w:divBdr>
          <w:divsChild>
            <w:div w:id="128592960">
              <w:marLeft w:val="560"/>
              <w:marRight w:val="0"/>
              <w:marTop w:val="0"/>
              <w:marBottom w:val="0"/>
              <w:divBdr>
                <w:top w:val="none" w:sz="0" w:space="0" w:color="auto"/>
                <w:left w:val="none" w:sz="0" w:space="0" w:color="auto"/>
                <w:bottom w:val="none" w:sz="0" w:space="0" w:color="auto"/>
                <w:right w:val="none" w:sz="0" w:space="0" w:color="auto"/>
              </w:divBdr>
            </w:div>
          </w:divsChild>
        </w:div>
        <w:div w:id="493449955">
          <w:marLeft w:val="0"/>
          <w:marRight w:val="0"/>
          <w:marTop w:val="0"/>
          <w:marBottom w:val="48"/>
          <w:divBdr>
            <w:top w:val="none" w:sz="0" w:space="0" w:color="auto"/>
            <w:left w:val="none" w:sz="0" w:space="0" w:color="auto"/>
            <w:bottom w:val="none" w:sz="0" w:space="0" w:color="auto"/>
            <w:right w:val="none" w:sz="0" w:space="0" w:color="auto"/>
          </w:divBdr>
          <w:divsChild>
            <w:div w:id="1536043952">
              <w:marLeft w:val="560"/>
              <w:marRight w:val="0"/>
              <w:marTop w:val="0"/>
              <w:marBottom w:val="0"/>
              <w:divBdr>
                <w:top w:val="none" w:sz="0" w:space="0" w:color="auto"/>
                <w:left w:val="none" w:sz="0" w:space="0" w:color="auto"/>
                <w:bottom w:val="none" w:sz="0" w:space="0" w:color="auto"/>
                <w:right w:val="none" w:sz="0" w:space="0" w:color="auto"/>
              </w:divBdr>
            </w:div>
          </w:divsChild>
        </w:div>
        <w:div w:id="671881756">
          <w:marLeft w:val="0"/>
          <w:marRight w:val="0"/>
          <w:marTop w:val="0"/>
          <w:marBottom w:val="48"/>
          <w:divBdr>
            <w:top w:val="none" w:sz="0" w:space="0" w:color="auto"/>
            <w:left w:val="none" w:sz="0" w:space="0" w:color="auto"/>
            <w:bottom w:val="none" w:sz="0" w:space="0" w:color="auto"/>
            <w:right w:val="none" w:sz="0" w:space="0" w:color="auto"/>
          </w:divBdr>
          <w:divsChild>
            <w:div w:id="352726781">
              <w:marLeft w:val="560"/>
              <w:marRight w:val="0"/>
              <w:marTop w:val="0"/>
              <w:marBottom w:val="0"/>
              <w:divBdr>
                <w:top w:val="none" w:sz="0" w:space="0" w:color="auto"/>
                <w:left w:val="none" w:sz="0" w:space="0" w:color="auto"/>
                <w:bottom w:val="none" w:sz="0" w:space="0" w:color="auto"/>
                <w:right w:val="none" w:sz="0" w:space="0" w:color="auto"/>
              </w:divBdr>
            </w:div>
          </w:divsChild>
        </w:div>
        <w:div w:id="1660965001">
          <w:marLeft w:val="0"/>
          <w:marRight w:val="0"/>
          <w:marTop w:val="0"/>
          <w:marBottom w:val="0"/>
          <w:divBdr>
            <w:top w:val="none" w:sz="0" w:space="0" w:color="auto"/>
            <w:left w:val="none" w:sz="0" w:space="0" w:color="auto"/>
            <w:bottom w:val="none" w:sz="0" w:space="0" w:color="auto"/>
            <w:right w:val="none" w:sz="0" w:space="0" w:color="auto"/>
          </w:divBdr>
          <w:divsChild>
            <w:div w:id="633482756">
              <w:marLeft w:val="560"/>
              <w:marRight w:val="0"/>
              <w:marTop w:val="0"/>
              <w:marBottom w:val="0"/>
              <w:divBdr>
                <w:top w:val="none" w:sz="0" w:space="0" w:color="auto"/>
                <w:left w:val="none" w:sz="0" w:space="0" w:color="auto"/>
                <w:bottom w:val="none" w:sz="0" w:space="0" w:color="auto"/>
                <w:right w:val="none" w:sz="0" w:space="0" w:color="auto"/>
              </w:divBdr>
            </w:div>
          </w:divsChild>
        </w:div>
        <w:div w:id="2137210642">
          <w:marLeft w:val="0"/>
          <w:marRight w:val="0"/>
          <w:marTop w:val="0"/>
          <w:marBottom w:val="0"/>
          <w:divBdr>
            <w:top w:val="none" w:sz="0" w:space="0" w:color="auto"/>
            <w:left w:val="none" w:sz="0" w:space="0" w:color="auto"/>
            <w:bottom w:val="none" w:sz="0" w:space="0" w:color="auto"/>
            <w:right w:val="none" w:sz="0" w:space="0" w:color="auto"/>
          </w:divBdr>
          <w:divsChild>
            <w:div w:id="1054428719">
              <w:marLeft w:val="560"/>
              <w:marRight w:val="0"/>
              <w:marTop w:val="0"/>
              <w:marBottom w:val="0"/>
              <w:divBdr>
                <w:top w:val="none" w:sz="0" w:space="0" w:color="auto"/>
                <w:left w:val="none" w:sz="0" w:space="0" w:color="auto"/>
                <w:bottom w:val="none" w:sz="0" w:space="0" w:color="auto"/>
                <w:right w:val="none" w:sz="0" w:space="0" w:color="auto"/>
              </w:divBdr>
            </w:div>
          </w:divsChild>
        </w:div>
        <w:div w:id="139269075">
          <w:marLeft w:val="0"/>
          <w:marRight w:val="0"/>
          <w:marTop w:val="0"/>
          <w:marBottom w:val="0"/>
          <w:divBdr>
            <w:top w:val="none" w:sz="0" w:space="0" w:color="auto"/>
            <w:left w:val="none" w:sz="0" w:space="0" w:color="auto"/>
            <w:bottom w:val="none" w:sz="0" w:space="0" w:color="auto"/>
            <w:right w:val="none" w:sz="0" w:space="0" w:color="auto"/>
          </w:divBdr>
          <w:divsChild>
            <w:div w:id="715273620">
              <w:marLeft w:val="560"/>
              <w:marRight w:val="0"/>
              <w:marTop w:val="0"/>
              <w:marBottom w:val="0"/>
              <w:divBdr>
                <w:top w:val="none" w:sz="0" w:space="0" w:color="auto"/>
                <w:left w:val="none" w:sz="0" w:space="0" w:color="auto"/>
                <w:bottom w:val="none" w:sz="0" w:space="0" w:color="auto"/>
                <w:right w:val="none" w:sz="0" w:space="0" w:color="auto"/>
              </w:divBdr>
            </w:div>
          </w:divsChild>
        </w:div>
        <w:div w:id="811288004">
          <w:marLeft w:val="0"/>
          <w:marRight w:val="0"/>
          <w:marTop w:val="0"/>
          <w:marBottom w:val="48"/>
          <w:divBdr>
            <w:top w:val="none" w:sz="0" w:space="0" w:color="auto"/>
            <w:left w:val="none" w:sz="0" w:space="0" w:color="auto"/>
            <w:bottom w:val="none" w:sz="0" w:space="0" w:color="auto"/>
            <w:right w:val="none" w:sz="0" w:space="0" w:color="auto"/>
          </w:divBdr>
          <w:divsChild>
            <w:div w:id="383332363">
              <w:marLeft w:val="560"/>
              <w:marRight w:val="0"/>
              <w:marTop w:val="0"/>
              <w:marBottom w:val="0"/>
              <w:divBdr>
                <w:top w:val="none" w:sz="0" w:space="0" w:color="auto"/>
                <w:left w:val="none" w:sz="0" w:space="0" w:color="auto"/>
                <w:bottom w:val="none" w:sz="0" w:space="0" w:color="auto"/>
                <w:right w:val="none" w:sz="0" w:space="0" w:color="auto"/>
              </w:divBdr>
            </w:div>
          </w:divsChild>
        </w:div>
        <w:div w:id="1091126718">
          <w:marLeft w:val="0"/>
          <w:marRight w:val="0"/>
          <w:marTop w:val="0"/>
          <w:marBottom w:val="48"/>
          <w:divBdr>
            <w:top w:val="none" w:sz="0" w:space="0" w:color="auto"/>
            <w:left w:val="none" w:sz="0" w:space="0" w:color="auto"/>
            <w:bottom w:val="none" w:sz="0" w:space="0" w:color="auto"/>
            <w:right w:val="none" w:sz="0" w:space="0" w:color="auto"/>
          </w:divBdr>
          <w:divsChild>
            <w:div w:id="381709301">
              <w:marLeft w:val="560"/>
              <w:marRight w:val="0"/>
              <w:marTop w:val="0"/>
              <w:marBottom w:val="0"/>
              <w:divBdr>
                <w:top w:val="none" w:sz="0" w:space="0" w:color="auto"/>
                <w:left w:val="none" w:sz="0" w:space="0" w:color="auto"/>
                <w:bottom w:val="none" w:sz="0" w:space="0" w:color="auto"/>
                <w:right w:val="none" w:sz="0" w:space="0" w:color="auto"/>
              </w:divBdr>
            </w:div>
          </w:divsChild>
        </w:div>
        <w:div w:id="460390442">
          <w:marLeft w:val="0"/>
          <w:marRight w:val="0"/>
          <w:marTop w:val="0"/>
          <w:marBottom w:val="0"/>
          <w:divBdr>
            <w:top w:val="none" w:sz="0" w:space="0" w:color="auto"/>
            <w:left w:val="none" w:sz="0" w:space="0" w:color="auto"/>
            <w:bottom w:val="none" w:sz="0" w:space="0" w:color="auto"/>
            <w:right w:val="none" w:sz="0" w:space="0" w:color="auto"/>
          </w:divBdr>
          <w:divsChild>
            <w:div w:id="594828689">
              <w:marLeft w:val="560"/>
              <w:marRight w:val="0"/>
              <w:marTop w:val="0"/>
              <w:marBottom w:val="0"/>
              <w:divBdr>
                <w:top w:val="none" w:sz="0" w:space="0" w:color="auto"/>
                <w:left w:val="none" w:sz="0" w:space="0" w:color="auto"/>
                <w:bottom w:val="none" w:sz="0" w:space="0" w:color="auto"/>
                <w:right w:val="none" w:sz="0" w:space="0" w:color="auto"/>
              </w:divBdr>
            </w:div>
          </w:divsChild>
        </w:div>
        <w:div w:id="963344768">
          <w:marLeft w:val="0"/>
          <w:marRight w:val="0"/>
          <w:marTop w:val="0"/>
          <w:marBottom w:val="0"/>
          <w:divBdr>
            <w:top w:val="none" w:sz="0" w:space="0" w:color="auto"/>
            <w:left w:val="none" w:sz="0" w:space="0" w:color="auto"/>
            <w:bottom w:val="none" w:sz="0" w:space="0" w:color="auto"/>
            <w:right w:val="none" w:sz="0" w:space="0" w:color="auto"/>
          </w:divBdr>
          <w:divsChild>
            <w:div w:id="1100222096">
              <w:marLeft w:val="560"/>
              <w:marRight w:val="0"/>
              <w:marTop w:val="0"/>
              <w:marBottom w:val="0"/>
              <w:divBdr>
                <w:top w:val="none" w:sz="0" w:space="0" w:color="auto"/>
                <w:left w:val="none" w:sz="0" w:space="0" w:color="auto"/>
                <w:bottom w:val="none" w:sz="0" w:space="0" w:color="auto"/>
                <w:right w:val="none" w:sz="0" w:space="0" w:color="auto"/>
              </w:divBdr>
            </w:div>
          </w:divsChild>
        </w:div>
        <w:div w:id="1284774835">
          <w:marLeft w:val="560"/>
          <w:marRight w:val="0"/>
          <w:marTop w:val="0"/>
          <w:marBottom w:val="96"/>
          <w:divBdr>
            <w:top w:val="none" w:sz="0" w:space="0" w:color="auto"/>
            <w:left w:val="none" w:sz="0" w:space="0" w:color="auto"/>
            <w:bottom w:val="none" w:sz="0" w:space="0" w:color="auto"/>
            <w:right w:val="none" w:sz="0" w:space="0" w:color="auto"/>
          </w:divBdr>
        </w:div>
        <w:div w:id="66924745">
          <w:marLeft w:val="0"/>
          <w:marRight w:val="0"/>
          <w:marTop w:val="0"/>
          <w:marBottom w:val="0"/>
          <w:divBdr>
            <w:top w:val="none" w:sz="0" w:space="0" w:color="auto"/>
            <w:left w:val="none" w:sz="0" w:space="0" w:color="auto"/>
            <w:bottom w:val="none" w:sz="0" w:space="0" w:color="auto"/>
            <w:right w:val="none" w:sz="0" w:space="0" w:color="auto"/>
          </w:divBdr>
          <w:divsChild>
            <w:div w:id="1005018849">
              <w:marLeft w:val="560"/>
              <w:marRight w:val="0"/>
              <w:marTop w:val="0"/>
              <w:marBottom w:val="0"/>
              <w:divBdr>
                <w:top w:val="none" w:sz="0" w:space="0" w:color="auto"/>
                <w:left w:val="none" w:sz="0" w:space="0" w:color="auto"/>
                <w:bottom w:val="none" w:sz="0" w:space="0" w:color="auto"/>
                <w:right w:val="none" w:sz="0" w:space="0" w:color="auto"/>
              </w:divBdr>
            </w:div>
          </w:divsChild>
        </w:div>
        <w:div w:id="462845718">
          <w:marLeft w:val="560"/>
          <w:marRight w:val="0"/>
          <w:marTop w:val="120"/>
          <w:marBottom w:val="96"/>
          <w:divBdr>
            <w:top w:val="none" w:sz="0" w:space="0" w:color="auto"/>
            <w:left w:val="none" w:sz="0" w:space="0" w:color="auto"/>
            <w:bottom w:val="none" w:sz="0" w:space="0" w:color="auto"/>
            <w:right w:val="none" w:sz="0" w:space="0" w:color="auto"/>
          </w:divBdr>
        </w:div>
        <w:div w:id="1232275937">
          <w:marLeft w:val="0"/>
          <w:marRight w:val="0"/>
          <w:marTop w:val="0"/>
          <w:marBottom w:val="0"/>
          <w:divBdr>
            <w:top w:val="none" w:sz="0" w:space="0" w:color="auto"/>
            <w:left w:val="none" w:sz="0" w:space="0" w:color="auto"/>
            <w:bottom w:val="none" w:sz="0" w:space="0" w:color="auto"/>
            <w:right w:val="none" w:sz="0" w:space="0" w:color="auto"/>
          </w:divBdr>
          <w:divsChild>
            <w:div w:id="1146585032">
              <w:marLeft w:val="560"/>
              <w:marRight w:val="0"/>
              <w:marTop w:val="0"/>
              <w:marBottom w:val="0"/>
              <w:divBdr>
                <w:top w:val="none" w:sz="0" w:space="0" w:color="auto"/>
                <w:left w:val="none" w:sz="0" w:space="0" w:color="auto"/>
                <w:bottom w:val="none" w:sz="0" w:space="0" w:color="auto"/>
                <w:right w:val="none" w:sz="0" w:space="0" w:color="auto"/>
              </w:divBdr>
            </w:div>
          </w:divsChild>
        </w:div>
        <w:div w:id="676931793">
          <w:marLeft w:val="0"/>
          <w:marRight w:val="0"/>
          <w:marTop w:val="0"/>
          <w:marBottom w:val="0"/>
          <w:divBdr>
            <w:top w:val="none" w:sz="0" w:space="0" w:color="auto"/>
            <w:left w:val="none" w:sz="0" w:space="0" w:color="auto"/>
            <w:bottom w:val="none" w:sz="0" w:space="0" w:color="auto"/>
            <w:right w:val="none" w:sz="0" w:space="0" w:color="auto"/>
          </w:divBdr>
          <w:divsChild>
            <w:div w:id="296421865">
              <w:marLeft w:val="560"/>
              <w:marRight w:val="0"/>
              <w:marTop w:val="0"/>
              <w:marBottom w:val="0"/>
              <w:divBdr>
                <w:top w:val="none" w:sz="0" w:space="0" w:color="auto"/>
                <w:left w:val="none" w:sz="0" w:space="0" w:color="auto"/>
                <w:bottom w:val="none" w:sz="0" w:space="0" w:color="auto"/>
                <w:right w:val="none" w:sz="0" w:space="0" w:color="auto"/>
              </w:divBdr>
            </w:div>
          </w:divsChild>
        </w:div>
        <w:div w:id="2009943518">
          <w:marLeft w:val="0"/>
          <w:marRight w:val="0"/>
          <w:marTop w:val="0"/>
          <w:marBottom w:val="0"/>
          <w:divBdr>
            <w:top w:val="none" w:sz="0" w:space="0" w:color="auto"/>
            <w:left w:val="none" w:sz="0" w:space="0" w:color="auto"/>
            <w:bottom w:val="none" w:sz="0" w:space="0" w:color="auto"/>
            <w:right w:val="none" w:sz="0" w:space="0" w:color="auto"/>
          </w:divBdr>
          <w:divsChild>
            <w:div w:id="2143037542">
              <w:marLeft w:val="560"/>
              <w:marRight w:val="0"/>
              <w:marTop w:val="0"/>
              <w:marBottom w:val="0"/>
              <w:divBdr>
                <w:top w:val="none" w:sz="0" w:space="0" w:color="auto"/>
                <w:left w:val="none" w:sz="0" w:space="0" w:color="auto"/>
                <w:bottom w:val="none" w:sz="0" w:space="0" w:color="auto"/>
                <w:right w:val="none" w:sz="0" w:space="0" w:color="auto"/>
              </w:divBdr>
            </w:div>
          </w:divsChild>
        </w:div>
        <w:div w:id="809135800">
          <w:marLeft w:val="0"/>
          <w:marRight w:val="0"/>
          <w:marTop w:val="0"/>
          <w:marBottom w:val="48"/>
          <w:divBdr>
            <w:top w:val="none" w:sz="0" w:space="0" w:color="auto"/>
            <w:left w:val="none" w:sz="0" w:space="0" w:color="auto"/>
            <w:bottom w:val="none" w:sz="0" w:space="0" w:color="auto"/>
            <w:right w:val="none" w:sz="0" w:space="0" w:color="auto"/>
          </w:divBdr>
          <w:divsChild>
            <w:div w:id="1251961094">
              <w:marLeft w:val="560"/>
              <w:marRight w:val="0"/>
              <w:marTop w:val="0"/>
              <w:marBottom w:val="0"/>
              <w:divBdr>
                <w:top w:val="none" w:sz="0" w:space="0" w:color="auto"/>
                <w:left w:val="none" w:sz="0" w:space="0" w:color="auto"/>
                <w:bottom w:val="none" w:sz="0" w:space="0" w:color="auto"/>
                <w:right w:val="none" w:sz="0" w:space="0" w:color="auto"/>
              </w:divBdr>
            </w:div>
          </w:divsChild>
        </w:div>
        <w:div w:id="1191408577">
          <w:marLeft w:val="0"/>
          <w:marRight w:val="0"/>
          <w:marTop w:val="0"/>
          <w:marBottom w:val="48"/>
          <w:divBdr>
            <w:top w:val="none" w:sz="0" w:space="0" w:color="auto"/>
            <w:left w:val="none" w:sz="0" w:space="0" w:color="auto"/>
            <w:bottom w:val="none" w:sz="0" w:space="0" w:color="auto"/>
            <w:right w:val="none" w:sz="0" w:space="0" w:color="auto"/>
          </w:divBdr>
          <w:divsChild>
            <w:div w:id="933242014">
              <w:marLeft w:val="560"/>
              <w:marRight w:val="0"/>
              <w:marTop w:val="0"/>
              <w:marBottom w:val="0"/>
              <w:divBdr>
                <w:top w:val="none" w:sz="0" w:space="0" w:color="auto"/>
                <w:left w:val="none" w:sz="0" w:space="0" w:color="auto"/>
                <w:bottom w:val="none" w:sz="0" w:space="0" w:color="auto"/>
                <w:right w:val="none" w:sz="0" w:space="0" w:color="auto"/>
              </w:divBdr>
            </w:div>
          </w:divsChild>
        </w:div>
        <w:div w:id="665062141">
          <w:marLeft w:val="0"/>
          <w:marRight w:val="0"/>
          <w:marTop w:val="0"/>
          <w:marBottom w:val="0"/>
          <w:divBdr>
            <w:top w:val="none" w:sz="0" w:space="0" w:color="auto"/>
            <w:left w:val="none" w:sz="0" w:space="0" w:color="auto"/>
            <w:bottom w:val="none" w:sz="0" w:space="0" w:color="auto"/>
            <w:right w:val="none" w:sz="0" w:space="0" w:color="auto"/>
          </w:divBdr>
          <w:divsChild>
            <w:div w:id="1667053970">
              <w:marLeft w:val="560"/>
              <w:marRight w:val="0"/>
              <w:marTop w:val="0"/>
              <w:marBottom w:val="0"/>
              <w:divBdr>
                <w:top w:val="none" w:sz="0" w:space="0" w:color="auto"/>
                <w:left w:val="none" w:sz="0" w:space="0" w:color="auto"/>
                <w:bottom w:val="none" w:sz="0" w:space="0" w:color="auto"/>
                <w:right w:val="none" w:sz="0" w:space="0" w:color="auto"/>
              </w:divBdr>
            </w:div>
          </w:divsChild>
        </w:div>
        <w:div w:id="1124539307">
          <w:marLeft w:val="0"/>
          <w:marRight w:val="0"/>
          <w:marTop w:val="0"/>
          <w:marBottom w:val="0"/>
          <w:divBdr>
            <w:top w:val="none" w:sz="0" w:space="0" w:color="auto"/>
            <w:left w:val="none" w:sz="0" w:space="0" w:color="auto"/>
            <w:bottom w:val="none" w:sz="0" w:space="0" w:color="auto"/>
            <w:right w:val="none" w:sz="0" w:space="0" w:color="auto"/>
          </w:divBdr>
          <w:divsChild>
            <w:div w:id="621377886">
              <w:marLeft w:val="560"/>
              <w:marRight w:val="0"/>
              <w:marTop w:val="0"/>
              <w:marBottom w:val="0"/>
              <w:divBdr>
                <w:top w:val="none" w:sz="0" w:space="0" w:color="auto"/>
                <w:left w:val="none" w:sz="0" w:space="0" w:color="auto"/>
                <w:bottom w:val="none" w:sz="0" w:space="0" w:color="auto"/>
                <w:right w:val="none" w:sz="0" w:space="0" w:color="auto"/>
              </w:divBdr>
            </w:div>
          </w:divsChild>
        </w:div>
        <w:div w:id="1868327829">
          <w:marLeft w:val="0"/>
          <w:marRight w:val="0"/>
          <w:marTop w:val="0"/>
          <w:marBottom w:val="0"/>
          <w:divBdr>
            <w:top w:val="none" w:sz="0" w:space="0" w:color="auto"/>
            <w:left w:val="none" w:sz="0" w:space="0" w:color="auto"/>
            <w:bottom w:val="none" w:sz="0" w:space="0" w:color="auto"/>
            <w:right w:val="none" w:sz="0" w:space="0" w:color="auto"/>
          </w:divBdr>
          <w:divsChild>
            <w:div w:id="1889756537">
              <w:marLeft w:val="560"/>
              <w:marRight w:val="0"/>
              <w:marTop w:val="0"/>
              <w:marBottom w:val="0"/>
              <w:divBdr>
                <w:top w:val="none" w:sz="0" w:space="0" w:color="auto"/>
                <w:left w:val="none" w:sz="0" w:space="0" w:color="auto"/>
                <w:bottom w:val="none" w:sz="0" w:space="0" w:color="auto"/>
                <w:right w:val="none" w:sz="0" w:space="0" w:color="auto"/>
              </w:divBdr>
            </w:div>
          </w:divsChild>
        </w:div>
        <w:div w:id="425998600">
          <w:marLeft w:val="0"/>
          <w:marRight w:val="0"/>
          <w:marTop w:val="0"/>
          <w:marBottom w:val="0"/>
          <w:divBdr>
            <w:top w:val="none" w:sz="0" w:space="0" w:color="auto"/>
            <w:left w:val="none" w:sz="0" w:space="0" w:color="auto"/>
            <w:bottom w:val="none" w:sz="0" w:space="0" w:color="auto"/>
            <w:right w:val="none" w:sz="0" w:space="0" w:color="auto"/>
          </w:divBdr>
          <w:divsChild>
            <w:div w:id="1520120709">
              <w:marLeft w:val="560"/>
              <w:marRight w:val="0"/>
              <w:marTop w:val="0"/>
              <w:marBottom w:val="0"/>
              <w:divBdr>
                <w:top w:val="none" w:sz="0" w:space="0" w:color="auto"/>
                <w:left w:val="none" w:sz="0" w:space="0" w:color="auto"/>
                <w:bottom w:val="none" w:sz="0" w:space="0" w:color="auto"/>
                <w:right w:val="none" w:sz="0" w:space="0" w:color="auto"/>
              </w:divBdr>
            </w:div>
          </w:divsChild>
        </w:div>
        <w:div w:id="152794434">
          <w:marLeft w:val="0"/>
          <w:marRight w:val="0"/>
          <w:marTop w:val="0"/>
          <w:marBottom w:val="0"/>
          <w:divBdr>
            <w:top w:val="none" w:sz="0" w:space="0" w:color="auto"/>
            <w:left w:val="none" w:sz="0" w:space="0" w:color="auto"/>
            <w:bottom w:val="none" w:sz="0" w:space="0" w:color="auto"/>
            <w:right w:val="none" w:sz="0" w:space="0" w:color="auto"/>
          </w:divBdr>
          <w:divsChild>
            <w:div w:id="126507581">
              <w:marLeft w:val="560"/>
              <w:marRight w:val="0"/>
              <w:marTop w:val="0"/>
              <w:marBottom w:val="0"/>
              <w:divBdr>
                <w:top w:val="none" w:sz="0" w:space="0" w:color="auto"/>
                <w:left w:val="none" w:sz="0" w:space="0" w:color="auto"/>
                <w:bottom w:val="none" w:sz="0" w:space="0" w:color="auto"/>
                <w:right w:val="none" w:sz="0" w:space="0" w:color="auto"/>
              </w:divBdr>
            </w:div>
          </w:divsChild>
        </w:div>
        <w:div w:id="1501582373">
          <w:marLeft w:val="0"/>
          <w:marRight w:val="0"/>
          <w:marTop w:val="0"/>
          <w:marBottom w:val="48"/>
          <w:divBdr>
            <w:top w:val="none" w:sz="0" w:space="0" w:color="auto"/>
            <w:left w:val="none" w:sz="0" w:space="0" w:color="auto"/>
            <w:bottom w:val="none" w:sz="0" w:space="0" w:color="auto"/>
            <w:right w:val="none" w:sz="0" w:space="0" w:color="auto"/>
          </w:divBdr>
          <w:divsChild>
            <w:div w:id="580681335">
              <w:marLeft w:val="560"/>
              <w:marRight w:val="0"/>
              <w:marTop w:val="0"/>
              <w:marBottom w:val="0"/>
              <w:divBdr>
                <w:top w:val="none" w:sz="0" w:space="0" w:color="auto"/>
                <w:left w:val="none" w:sz="0" w:space="0" w:color="auto"/>
                <w:bottom w:val="none" w:sz="0" w:space="0" w:color="auto"/>
                <w:right w:val="none" w:sz="0" w:space="0" w:color="auto"/>
              </w:divBdr>
            </w:div>
          </w:divsChild>
        </w:div>
        <w:div w:id="1983541091">
          <w:marLeft w:val="0"/>
          <w:marRight w:val="0"/>
          <w:marTop w:val="0"/>
          <w:marBottom w:val="0"/>
          <w:divBdr>
            <w:top w:val="none" w:sz="0" w:space="0" w:color="auto"/>
            <w:left w:val="none" w:sz="0" w:space="0" w:color="auto"/>
            <w:bottom w:val="none" w:sz="0" w:space="0" w:color="auto"/>
            <w:right w:val="none" w:sz="0" w:space="0" w:color="auto"/>
          </w:divBdr>
          <w:divsChild>
            <w:div w:id="553853811">
              <w:marLeft w:val="560"/>
              <w:marRight w:val="0"/>
              <w:marTop w:val="0"/>
              <w:marBottom w:val="0"/>
              <w:divBdr>
                <w:top w:val="none" w:sz="0" w:space="0" w:color="auto"/>
                <w:left w:val="none" w:sz="0" w:space="0" w:color="auto"/>
                <w:bottom w:val="none" w:sz="0" w:space="0" w:color="auto"/>
                <w:right w:val="none" w:sz="0" w:space="0" w:color="auto"/>
              </w:divBdr>
            </w:div>
          </w:divsChild>
        </w:div>
        <w:div w:id="2040278841">
          <w:marLeft w:val="0"/>
          <w:marRight w:val="0"/>
          <w:marTop w:val="0"/>
          <w:marBottom w:val="0"/>
          <w:divBdr>
            <w:top w:val="none" w:sz="0" w:space="0" w:color="auto"/>
            <w:left w:val="none" w:sz="0" w:space="0" w:color="auto"/>
            <w:bottom w:val="none" w:sz="0" w:space="0" w:color="auto"/>
            <w:right w:val="none" w:sz="0" w:space="0" w:color="auto"/>
          </w:divBdr>
          <w:divsChild>
            <w:div w:id="1517691506">
              <w:marLeft w:val="560"/>
              <w:marRight w:val="0"/>
              <w:marTop w:val="0"/>
              <w:marBottom w:val="0"/>
              <w:divBdr>
                <w:top w:val="none" w:sz="0" w:space="0" w:color="auto"/>
                <w:left w:val="none" w:sz="0" w:space="0" w:color="auto"/>
                <w:bottom w:val="none" w:sz="0" w:space="0" w:color="auto"/>
                <w:right w:val="none" w:sz="0" w:space="0" w:color="auto"/>
              </w:divBdr>
            </w:div>
          </w:divsChild>
        </w:div>
        <w:div w:id="544945907">
          <w:marLeft w:val="0"/>
          <w:marRight w:val="0"/>
          <w:marTop w:val="0"/>
          <w:marBottom w:val="0"/>
          <w:divBdr>
            <w:top w:val="none" w:sz="0" w:space="0" w:color="auto"/>
            <w:left w:val="none" w:sz="0" w:space="0" w:color="auto"/>
            <w:bottom w:val="none" w:sz="0" w:space="0" w:color="auto"/>
            <w:right w:val="none" w:sz="0" w:space="0" w:color="auto"/>
          </w:divBdr>
          <w:divsChild>
            <w:div w:id="852954774">
              <w:marLeft w:val="560"/>
              <w:marRight w:val="0"/>
              <w:marTop w:val="0"/>
              <w:marBottom w:val="0"/>
              <w:divBdr>
                <w:top w:val="none" w:sz="0" w:space="0" w:color="auto"/>
                <w:left w:val="none" w:sz="0" w:space="0" w:color="auto"/>
                <w:bottom w:val="none" w:sz="0" w:space="0" w:color="auto"/>
                <w:right w:val="none" w:sz="0" w:space="0" w:color="auto"/>
              </w:divBdr>
            </w:div>
          </w:divsChild>
        </w:div>
        <w:div w:id="1546256643">
          <w:marLeft w:val="0"/>
          <w:marRight w:val="0"/>
          <w:marTop w:val="0"/>
          <w:marBottom w:val="0"/>
          <w:divBdr>
            <w:top w:val="none" w:sz="0" w:space="0" w:color="auto"/>
            <w:left w:val="none" w:sz="0" w:space="0" w:color="auto"/>
            <w:bottom w:val="none" w:sz="0" w:space="0" w:color="auto"/>
            <w:right w:val="none" w:sz="0" w:space="0" w:color="auto"/>
          </w:divBdr>
          <w:divsChild>
            <w:div w:id="455678710">
              <w:marLeft w:val="560"/>
              <w:marRight w:val="0"/>
              <w:marTop w:val="0"/>
              <w:marBottom w:val="0"/>
              <w:divBdr>
                <w:top w:val="none" w:sz="0" w:space="0" w:color="auto"/>
                <w:left w:val="none" w:sz="0" w:space="0" w:color="auto"/>
                <w:bottom w:val="none" w:sz="0" w:space="0" w:color="auto"/>
                <w:right w:val="none" w:sz="0" w:space="0" w:color="auto"/>
              </w:divBdr>
            </w:div>
          </w:divsChild>
        </w:div>
        <w:div w:id="1277978178">
          <w:marLeft w:val="0"/>
          <w:marRight w:val="0"/>
          <w:marTop w:val="0"/>
          <w:marBottom w:val="0"/>
          <w:divBdr>
            <w:top w:val="none" w:sz="0" w:space="0" w:color="auto"/>
            <w:left w:val="none" w:sz="0" w:space="0" w:color="auto"/>
            <w:bottom w:val="none" w:sz="0" w:space="0" w:color="auto"/>
            <w:right w:val="none" w:sz="0" w:space="0" w:color="auto"/>
          </w:divBdr>
          <w:divsChild>
            <w:div w:id="1745032349">
              <w:marLeft w:val="560"/>
              <w:marRight w:val="0"/>
              <w:marTop w:val="0"/>
              <w:marBottom w:val="0"/>
              <w:divBdr>
                <w:top w:val="none" w:sz="0" w:space="0" w:color="auto"/>
                <w:left w:val="none" w:sz="0" w:space="0" w:color="auto"/>
                <w:bottom w:val="none" w:sz="0" w:space="0" w:color="auto"/>
                <w:right w:val="none" w:sz="0" w:space="0" w:color="auto"/>
              </w:divBdr>
            </w:div>
          </w:divsChild>
        </w:div>
        <w:div w:id="567619892">
          <w:marLeft w:val="0"/>
          <w:marRight w:val="0"/>
          <w:marTop w:val="0"/>
          <w:marBottom w:val="48"/>
          <w:divBdr>
            <w:top w:val="none" w:sz="0" w:space="0" w:color="auto"/>
            <w:left w:val="none" w:sz="0" w:space="0" w:color="auto"/>
            <w:bottom w:val="none" w:sz="0" w:space="0" w:color="auto"/>
            <w:right w:val="none" w:sz="0" w:space="0" w:color="auto"/>
          </w:divBdr>
          <w:divsChild>
            <w:div w:id="505556619">
              <w:marLeft w:val="560"/>
              <w:marRight w:val="0"/>
              <w:marTop w:val="0"/>
              <w:marBottom w:val="0"/>
              <w:divBdr>
                <w:top w:val="none" w:sz="0" w:space="0" w:color="auto"/>
                <w:left w:val="none" w:sz="0" w:space="0" w:color="auto"/>
                <w:bottom w:val="none" w:sz="0" w:space="0" w:color="auto"/>
                <w:right w:val="none" w:sz="0" w:space="0" w:color="auto"/>
              </w:divBdr>
            </w:div>
          </w:divsChild>
        </w:div>
        <w:div w:id="2051219400">
          <w:marLeft w:val="0"/>
          <w:marRight w:val="0"/>
          <w:marTop w:val="0"/>
          <w:marBottom w:val="48"/>
          <w:divBdr>
            <w:top w:val="none" w:sz="0" w:space="0" w:color="auto"/>
            <w:left w:val="none" w:sz="0" w:space="0" w:color="auto"/>
            <w:bottom w:val="none" w:sz="0" w:space="0" w:color="auto"/>
            <w:right w:val="none" w:sz="0" w:space="0" w:color="auto"/>
          </w:divBdr>
          <w:divsChild>
            <w:div w:id="919018918">
              <w:marLeft w:val="560"/>
              <w:marRight w:val="0"/>
              <w:marTop w:val="0"/>
              <w:marBottom w:val="0"/>
              <w:divBdr>
                <w:top w:val="none" w:sz="0" w:space="0" w:color="auto"/>
                <w:left w:val="none" w:sz="0" w:space="0" w:color="auto"/>
                <w:bottom w:val="none" w:sz="0" w:space="0" w:color="auto"/>
                <w:right w:val="none" w:sz="0" w:space="0" w:color="auto"/>
              </w:divBdr>
            </w:div>
          </w:divsChild>
        </w:div>
        <w:div w:id="676884342">
          <w:marLeft w:val="0"/>
          <w:marRight w:val="0"/>
          <w:marTop w:val="0"/>
          <w:marBottom w:val="48"/>
          <w:divBdr>
            <w:top w:val="none" w:sz="0" w:space="0" w:color="auto"/>
            <w:left w:val="none" w:sz="0" w:space="0" w:color="auto"/>
            <w:bottom w:val="none" w:sz="0" w:space="0" w:color="auto"/>
            <w:right w:val="none" w:sz="0" w:space="0" w:color="auto"/>
          </w:divBdr>
          <w:divsChild>
            <w:div w:id="1063791517">
              <w:marLeft w:val="560"/>
              <w:marRight w:val="0"/>
              <w:marTop w:val="0"/>
              <w:marBottom w:val="0"/>
              <w:divBdr>
                <w:top w:val="none" w:sz="0" w:space="0" w:color="auto"/>
                <w:left w:val="none" w:sz="0" w:space="0" w:color="auto"/>
                <w:bottom w:val="none" w:sz="0" w:space="0" w:color="auto"/>
                <w:right w:val="none" w:sz="0" w:space="0" w:color="auto"/>
              </w:divBdr>
            </w:div>
          </w:divsChild>
        </w:div>
        <w:div w:id="2077973788">
          <w:marLeft w:val="0"/>
          <w:marRight w:val="0"/>
          <w:marTop w:val="0"/>
          <w:marBottom w:val="0"/>
          <w:divBdr>
            <w:top w:val="none" w:sz="0" w:space="0" w:color="auto"/>
            <w:left w:val="none" w:sz="0" w:space="0" w:color="auto"/>
            <w:bottom w:val="none" w:sz="0" w:space="0" w:color="auto"/>
            <w:right w:val="none" w:sz="0" w:space="0" w:color="auto"/>
          </w:divBdr>
          <w:divsChild>
            <w:div w:id="991983734">
              <w:marLeft w:val="560"/>
              <w:marRight w:val="0"/>
              <w:marTop w:val="0"/>
              <w:marBottom w:val="0"/>
              <w:divBdr>
                <w:top w:val="none" w:sz="0" w:space="0" w:color="auto"/>
                <w:left w:val="none" w:sz="0" w:space="0" w:color="auto"/>
                <w:bottom w:val="none" w:sz="0" w:space="0" w:color="auto"/>
                <w:right w:val="none" w:sz="0" w:space="0" w:color="auto"/>
              </w:divBdr>
            </w:div>
          </w:divsChild>
        </w:div>
        <w:div w:id="1994674111">
          <w:marLeft w:val="0"/>
          <w:marRight w:val="0"/>
          <w:marTop w:val="0"/>
          <w:marBottom w:val="0"/>
          <w:divBdr>
            <w:top w:val="none" w:sz="0" w:space="0" w:color="auto"/>
            <w:left w:val="none" w:sz="0" w:space="0" w:color="auto"/>
            <w:bottom w:val="none" w:sz="0" w:space="0" w:color="auto"/>
            <w:right w:val="none" w:sz="0" w:space="0" w:color="auto"/>
          </w:divBdr>
          <w:divsChild>
            <w:div w:id="329136305">
              <w:marLeft w:val="560"/>
              <w:marRight w:val="0"/>
              <w:marTop w:val="0"/>
              <w:marBottom w:val="0"/>
              <w:divBdr>
                <w:top w:val="none" w:sz="0" w:space="0" w:color="auto"/>
                <w:left w:val="none" w:sz="0" w:space="0" w:color="auto"/>
                <w:bottom w:val="none" w:sz="0" w:space="0" w:color="auto"/>
                <w:right w:val="none" w:sz="0" w:space="0" w:color="auto"/>
              </w:divBdr>
            </w:div>
          </w:divsChild>
        </w:div>
        <w:div w:id="443040565">
          <w:marLeft w:val="0"/>
          <w:marRight w:val="0"/>
          <w:marTop w:val="0"/>
          <w:marBottom w:val="0"/>
          <w:divBdr>
            <w:top w:val="none" w:sz="0" w:space="0" w:color="auto"/>
            <w:left w:val="none" w:sz="0" w:space="0" w:color="auto"/>
            <w:bottom w:val="none" w:sz="0" w:space="0" w:color="auto"/>
            <w:right w:val="none" w:sz="0" w:space="0" w:color="auto"/>
          </w:divBdr>
          <w:divsChild>
            <w:div w:id="2007392407">
              <w:marLeft w:val="560"/>
              <w:marRight w:val="0"/>
              <w:marTop w:val="0"/>
              <w:marBottom w:val="0"/>
              <w:divBdr>
                <w:top w:val="none" w:sz="0" w:space="0" w:color="auto"/>
                <w:left w:val="none" w:sz="0" w:space="0" w:color="auto"/>
                <w:bottom w:val="none" w:sz="0" w:space="0" w:color="auto"/>
                <w:right w:val="none" w:sz="0" w:space="0" w:color="auto"/>
              </w:divBdr>
            </w:div>
          </w:divsChild>
        </w:div>
        <w:div w:id="126355975">
          <w:marLeft w:val="0"/>
          <w:marRight w:val="0"/>
          <w:marTop w:val="0"/>
          <w:marBottom w:val="0"/>
          <w:divBdr>
            <w:top w:val="none" w:sz="0" w:space="0" w:color="auto"/>
            <w:left w:val="none" w:sz="0" w:space="0" w:color="auto"/>
            <w:bottom w:val="none" w:sz="0" w:space="0" w:color="auto"/>
            <w:right w:val="none" w:sz="0" w:space="0" w:color="auto"/>
          </w:divBdr>
          <w:divsChild>
            <w:div w:id="1465543521">
              <w:marLeft w:val="560"/>
              <w:marRight w:val="0"/>
              <w:marTop w:val="0"/>
              <w:marBottom w:val="0"/>
              <w:divBdr>
                <w:top w:val="none" w:sz="0" w:space="0" w:color="auto"/>
                <w:left w:val="none" w:sz="0" w:space="0" w:color="auto"/>
                <w:bottom w:val="none" w:sz="0" w:space="0" w:color="auto"/>
                <w:right w:val="none" w:sz="0" w:space="0" w:color="auto"/>
              </w:divBdr>
            </w:div>
          </w:divsChild>
        </w:div>
        <w:div w:id="1720982257">
          <w:marLeft w:val="0"/>
          <w:marRight w:val="0"/>
          <w:marTop w:val="0"/>
          <w:marBottom w:val="0"/>
          <w:divBdr>
            <w:top w:val="none" w:sz="0" w:space="0" w:color="auto"/>
            <w:left w:val="none" w:sz="0" w:space="0" w:color="auto"/>
            <w:bottom w:val="none" w:sz="0" w:space="0" w:color="auto"/>
            <w:right w:val="none" w:sz="0" w:space="0" w:color="auto"/>
          </w:divBdr>
          <w:divsChild>
            <w:div w:id="794908521">
              <w:marLeft w:val="560"/>
              <w:marRight w:val="0"/>
              <w:marTop w:val="0"/>
              <w:marBottom w:val="0"/>
              <w:divBdr>
                <w:top w:val="none" w:sz="0" w:space="0" w:color="auto"/>
                <w:left w:val="none" w:sz="0" w:space="0" w:color="auto"/>
                <w:bottom w:val="none" w:sz="0" w:space="0" w:color="auto"/>
                <w:right w:val="none" w:sz="0" w:space="0" w:color="auto"/>
              </w:divBdr>
            </w:div>
          </w:divsChild>
        </w:div>
        <w:div w:id="1213730541">
          <w:marLeft w:val="0"/>
          <w:marRight w:val="0"/>
          <w:marTop w:val="0"/>
          <w:marBottom w:val="0"/>
          <w:divBdr>
            <w:top w:val="none" w:sz="0" w:space="0" w:color="auto"/>
            <w:left w:val="none" w:sz="0" w:space="0" w:color="auto"/>
            <w:bottom w:val="none" w:sz="0" w:space="0" w:color="auto"/>
            <w:right w:val="none" w:sz="0" w:space="0" w:color="auto"/>
          </w:divBdr>
          <w:divsChild>
            <w:div w:id="575018037">
              <w:marLeft w:val="560"/>
              <w:marRight w:val="0"/>
              <w:marTop w:val="0"/>
              <w:marBottom w:val="0"/>
              <w:divBdr>
                <w:top w:val="none" w:sz="0" w:space="0" w:color="auto"/>
                <w:left w:val="none" w:sz="0" w:space="0" w:color="auto"/>
                <w:bottom w:val="none" w:sz="0" w:space="0" w:color="auto"/>
                <w:right w:val="none" w:sz="0" w:space="0" w:color="auto"/>
              </w:divBdr>
            </w:div>
          </w:divsChild>
        </w:div>
        <w:div w:id="1396198200">
          <w:marLeft w:val="0"/>
          <w:marRight w:val="0"/>
          <w:marTop w:val="0"/>
          <w:marBottom w:val="0"/>
          <w:divBdr>
            <w:top w:val="none" w:sz="0" w:space="0" w:color="auto"/>
            <w:left w:val="none" w:sz="0" w:space="0" w:color="auto"/>
            <w:bottom w:val="none" w:sz="0" w:space="0" w:color="auto"/>
            <w:right w:val="none" w:sz="0" w:space="0" w:color="auto"/>
          </w:divBdr>
          <w:divsChild>
            <w:div w:id="609046639">
              <w:marLeft w:val="560"/>
              <w:marRight w:val="0"/>
              <w:marTop w:val="0"/>
              <w:marBottom w:val="0"/>
              <w:divBdr>
                <w:top w:val="none" w:sz="0" w:space="0" w:color="auto"/>
                <w:left w:val="none" w:sz="0" w:space="0" w:color="auto"/>
                <w:bottom w:val="none" w:sz="0" w:space="0" w:color="auto"/>
                <w:right w:val="none" w:sz="0" w:space="0" w:color="auto"/>
              </w:divBdr>
            </w:div>
          </w:divsChild>
        </w:div>
        <w:div w:id="122890539">
          <w:marLeft w:val="0"/>
          <w:marRight w:val="0"/>
          <w:marTop w:val="0"/>
          <w:marBottom w:val="0"/>
          <w:divBdr>
            <w:top w:val="none" w:sz="0" w:space="0" w:color="auto"/>
            <w:left w:val="none" w:sz="0" w:space="0" w:color="auto"/>
            <w:bottom w:val="none" w:sz="0" w:space="0" w:color="auto"/>
            <w:right w:val="none" w:sz="0" w:space="0" w:color="auto"/>
          </w:divBdr>
          <w:divsChild>
            <w:div w:id="1041708710">
              <w:marLeft w:val="560"/>
              <w:marRight w:val="0"/>
              <w:marTop w:val="0"/>
              <w:marBottom w:val="0"/>
              <w:divBdr>
                <w:top w:val="none" w:sz="0" w:space="0" w:color="auto"/>
                <w:left w:val="none" w:sz="0" w:space="0" w:color="auto"/>
                <w:bottom w:val="none" w:sz="0" w:space="0" w:color="auto"/>
                <w:right w:val="none" w:sz="0" w:space="0" w:color="auto"/>
              </w:divBdr>
            </w:div>
          </w:divsChild>
        </w:div>
        <w:div w:id="918756915">
          <w:marLeft w:val="0"/>
          <w:marRight w:val="0"/>
          <w:marTop w:val="0"/>
          <w:marBottom w:val="48"/>
          <w:divBdr>
            <w:top w:val="none" w:sz="0" w:space="0" w:color="auto"/>
            <w:left w:val="none" w:sz="0" w:space="0" w:color="auto"/>
            <w:bottom w:val="none" w:sz="0" w:space="0" w:color="auto"/>
            <w:right w:val="none" w:sz="0" w:space="0" w:color="auto"/>
          </w:divBdr>
          <w:divsChild>
            <w:div w:id="1636137827">
              <w:marLeft w:val="560"/>
              <w:marRight w:val="0"/>
              <w:marTop w:val="0"/>
              <w:marBottom w:val="0"/>
              <w:divBdr>
                <w:top w:val="none" w:sz="0" w:space="0" w:color="auto"/>
                <w:left w:val="none" w:sz="0" w:space="0" w:color="auto"/>
                <w:bottom w:val="none" w:sz="0" w:space="0" w:color="auto"/>
                <w:right w:val="none" w:sz="0" w:space="0" w:color="auto"/>
              </w:divBdr>
            </w:div>
          </w:divsChild>
        </w:div>
        <w:div w:id="761727587">
          <w:marLeft w:val="0"/>
          <w:marRight w:val="0"/>
          <w:marTop w:val="0"/>
          <w:marBottom w:val="0"/>
          <w:divBdr>
            <w:top w:val="none" w:sz="0" w:space="0" w:color="auto"/>
            <w:left w:val="none" w:sz="0" w:space="0" w:color="auto"/>
            <w:bottom w:val="none" w:sz="0" w:space="0" w:color="auto"/>
            <w:right w:val="none" w:sz="0" w:space="0" w:color="auto"/>
          </w:divBdr>
          <w:divsChild>
            <w:div w:id="163084468">
              <w:marLeft w:val="560"/>
              <w:marRight w:val="0"/>
              <w:marTop w:val="0"/>
              <w:marBottom w:val="0"/>
              <w:divBdr>
                <w:top w:val="none" w:sz="0" w:space="0" w:color="auto"/>
                <w:left w:val="none" w:sz="0" w:space="0" w:color="auto"/>
                <w:bottom w:val="none" w:sz="0" w:space="0" w:color="auto"/>
                <w:right w:val="none" w:sz="0" w:space="0" w:color="auto"/>
              </w:divBdr>
            </w:div>
          </w:divsChild>
        </w:div>
        <w:div w:id="578441010">
          <w:marLeft w:val="0"/>
          <w:marRight w:val="0"/>
          <w:marTop w:val="0"/>
          <w:marBottom w:val="48"/>
          <w:divBdr>
            <w:top w:val="none" w:sz="0" w:space="0" w:color="auto"/>
            <w:left w:val="none" w:sz="0" w:space="0" w:color="auto"/>
            <w:bottom w:val="none" w:sz="0" w:space="0" w:color="auto"/>
            <w:right w:val="none" w:sz="0" w:space="0" w:color="auto"/>
          </w:divBdr>
          <w:divsChild>
            <w:div w:id="249582589">
              <w:marLeft w:val="560"/>
              <w:marRight w:val="0"/>
              <w:marTop w:val="0"/>
              <w:marBottom w:val="0"/>
              <w:divBdr>
                <w:top w:val="none" w:sz="0" w:space="0" w:color="auto"/>
                <w:left w:val="none" w:sz="0" w:space="0" w:color="auto"/>
                <w:bottom w:val="none" w:sz="0" w:space="0" w:color="auto"/>
                <w:right w:val="none" w:sz="0" w:space="0" w:color="auto"/>
              </w:divBdr>
            </w:div>
          </w:divsChild>
        </w:div>
        <w:div w:id="1812861719">
          <w:marLeft w:val="0"/>
          <w:marRight w:val="0"/>
          <w:marTop w:val="0"/>
          <w:marBottom w:val="48"/>
          <w:divBdr>
            <w:top w:val="none" w:sz="0" w:space="0" w:color="auto"/>
            <w:left w:val="none" w:sz="0" w:space="0" w:color="auto"/>
            <w:bottom w:val="none" w:sz="0" w:space="0" w:color="auto"/>
            <w:right w:val="none" w:sz="0" w:space="0" w:color="auto"/>
          </w:divBdr>
          <w:divsChild>
            <w:div w:id="1055080992">
              <w:marLeft w:val="560"/>
              <w:marRight w:val="0"/>
              <w:marTop w:val="0"/>
              <w:marBottom w:val="0"/>
              <w:divBdr>
                <w:top w:val="none" w:sz="0" w:space="0" w:color="auto"/>
                <w:left w:val="none" w:sz="0" w:space="0" w:color="auto"/>
                <w:bottom w:val="none" w:sz="0" w:space="0" w:color="auto"/>
                <w:right w:val="none" w:sz="0" w:space="0" w:color="auto"/>
              </w:divBdr>
            </w:div>
          </w:divsChild>
        </w:div>
        <w:div w:id="709838652">
          <w:marLeft w:val="0"/>
          <w:marRight w:val="0"/>
          <w:marTop w:val="0"/>
          <w:marBottom w:val="48"/>
          <w:divBdr>
            <w:top w:val="none" w:sz="0" w:space="0" w:color="auto"/>
            <w:left w:val="none" w:sz="0" w:space="0" w:color="auto"/>
            <w:bottom w:val="none" w:sz="0" w:space="0" w:color="auto"/>
            <w:right w:val="none" w:sz="0" w:space="0" w:color="auto"/>
          </w:divBdr>
          <w:divsChild>
            <w:div w:id="1850561009">
              <w:marLeft w:val="560"/>
              <w:marRight w:val="0"/>
              <w:marTop w:val="0"/>
              <w:marBottom w:val="0"/>
              <w:divBdr>
                <w:top w:val="none" w:sz="0" w:space="0" w:color="auto"/>
                <w:left w:val="none" w:sz="0" w:space="0" w:color="auto"/>
                <w:bottom w:val="none" w:sz="0" w:space="0" w:color="auto"/>
                <w:right w:val="none" w:sz="0" w:space="0" w:color="auto"/>
              </w:divBdr>
            </w:div>
          </w:divsChild>
        </w:div>
        <w:div w:id="183135273">
          <w:marLeft w:val="0"/>
          <w:marRight w:val="0"/>
          <w:marTop w:val="0"/>
          <w:marBottom w:val="0"/>
          <w:divBdr>
            <w:top w:val="none" w:sz="0" w:space="0" w:color="auto"/>
            <w:left w:val="none" w:sz="0" w:space="0" w:color="auto"/>
            <w:bottom w:val="none" w:sz="0" w:space="0" w:color="auto"/>
            <w:right w:val="none" w:sz="0" w:space="0" w:color="auto"/>
          </w:divBdr>
          <w:divsChild>
            <w:div w:id="1618443123">
              <w:marLeft w:val="560"/>
              <w:marRight w:val="0"/>
              <w:marTop w:val="0"/>
              <w:marBottom w:val="0"/>
              <w:divBdr>
                <w:top w:val="none" w:sz="0" w:space="0" w:color="auto"/>
                <w:left w:val="none" w:sz="0" w:space="0" w:color="auto"/>
                <w:bottom w:val="none" w:sz="0" w:space="0" w:color="auto"/>
                <w:right w:val="none" w:sz="0" w:space="0" w:color="auto"/>
              </w:divBdr>
            </w:div>
          </w:divsChild>
        </w:div>
        <w:div w:id="977689314">
          <w:marLeft w:val="0"/>
          <w:marRight w:val="0"/>
          <w:marTop w:val="0"/>
          <w:marBottom w:val="48"/>
          <w:divBdr>
            <w:top w:val="none" w:sz="0" w:space="0" w:color="auto"/>
            <w:left w:val="none" w:sz="0" w:space="0" w:color="auto"/>
            <w:bottom w:val="none" w:sz="0" w:space="0" w:color="auto"/>
            <w:right w:val="none" w:sz="0" w:space="0" w:color="auto"/>
          </w:divBdr>
          <w:divsChild>
            <w:div w:id="262105544">
              <w:marLeft w:val="560"/>
              <w:marRight w:val="0"/>
              <w:marTop w:val="0"/>
              <w:marBottom w:val="0"/>
              <w:divBdr>
                <w:top w:val="none" w:sz="0" w:space="0" w:color="auto"/>
                <w:left w:val="none" w:sz="0" w:space="0" w:color="auto"/>
                <w:bottom w:val="none" w:sz="0" w:space="0" w:color="auto"/>
                <w:right w:val="none" w:sz="0" w:space="0" w:color="auto"/>
              </w:divBdr>
            </w:div>
          </w:divsChild>
        </w:div>
        <w:div w:id="1951814164">
          <w:marLeft w:val="0"/>
          <w:marRight w:val="0"/>
          <w:marTop w:val="0"/>
          <w:marBottom w:val="48"/>
          <w:divBdr>
            <w:top w:val="none" w:sz="0" w:space="0" w:color="auto"/>
            <w:left w:val="none" w:sz="0" w:space="0" w:color="auto"/>
            <w:bottom w:val="none" w:sz="0" w:space="0" w:color="auto"/>
            <w:right w:val="none" w:sz="0" w:space="0" w:color="auto"/>
          </w:divBdr>
          <w:divsChild>
            <w:div w:id="1165438025">
              <w:marLeft w:val="560"/>
              <w:marRight w:val="0"/>
              <w:marTop w:val="0"/>
              <w:marBottom w:val="0"/>
              <w:divBdr>
                <w:top w:val="none" w:sz="0" w:space="0" w:color="auto"/>
                <w:left w:val="none" w:sz="0" w:space="0" w:color="auto"/>
                <w:bottom w:val="none" w:sz="0" w:space="0" w:color="auto"/>
                <w:right w:val="none" w:sz="0" w:space="0" w:color="auto"/>
              </w:divBdr>
            </w:div>
          </w:divsChild>
        </w:div>
        <w:div w:id="2146466955">
          <w:marLeft w:val="0"/>
          <w:marRight w:val="0"/>
          <w:marTop w:val="0"/>
          <w:marBottom w:val="48"/>
          <w:divBdr>
            <w:top w:val="none" w:sz="0" w:space="0" w:color="auto"/>
            <w:left w:val="none" w:sz="0" w:space="0" w:color="auto"/>
            <w:bottom w:val="none" w:sz="0" w:space="0" w:color="auto"/>
            <w:right w:val="none" w:sz="0" w:space="0" w:color="auto"/>
          </w:divBdr>
          <w:divsChild>
            <w:div w:id="1772356725">
              <w:marLeft w:val="560"/>
              <w:marRight w:val="0"/>
              <w:marTop w:val="0"/>
              <w:marBottom w:val="0"/>
              <w:divBdr>
                <w:top w:val="none" w:sz="0" w:space="0" w:color="auto"/>
                <w:left w:val="none" w:sz="0" w:space="0" w:color="auto"/>
                <w:bottom w:val="none" w:sz="0" w:space="0" w:color="auto"/>
                <w:right w:val="none" w:sz="0" w:space="0" w:color="auto"/>
              </w:divBdr>
            </w:div>
          </w:divsChild>
        </w:div>
        <w:div w:id="734007919">
          <w:marLeft w:val="0"/>
          <w:marRight w:val="0"/>
          <w:marTop w:val="0"/>
          <w:marBottom w:val="48"/>
          <w:divBdr>
            <w:top w:val="none" w:sz="0" w:space="0" w:color="auto"/>
            <w:left w:val="none" w:sz="0" w:space="0" w:color="auto"/>
            <w:bottom w:val="none" w:sz="0" w:space="0" w:color="auto"/>
            <w:right w:val="none" w:sz="0" w:space="0" w:color="auto"/>
          </w:divBdr>
          <w:divsChild>
            <w:div w:id="2087217204">
              <w:marLeft w:val="560"/>
              <w:marRight w:val="0"/>
              <w:marTop w:val="0"/>
              <w:marBottom w:val="0"/>
              <w:divBdr>
                <w:top w:val="none" w:sz="0" w:space="0" w:color="auto"/>
                <w:left w:val="none" w:sz="0" w:space="0" w:color="auto"/>
                <w:bottom w:val="none" w:sz="0" w:space="0" w:color="auto"/>
                <w:right w:val="none" w:sz="0" w:space="0" w:color="auto"/>
              </w:divBdr>
            </w:div>
          </w:divsChild>
        </w:div>
        <w:div w:id="1984266173">
          <w:marLeft w:val="0"/>
          <w:marRight w:val="0"/>
          <w:marTop w:val="0"/>
          <w:marBottom w:val="48"/>
          <w:divBdr>
            <w:top w:val="none" w:sz="0" w:space="0" w:color="auto"/>
            <w:left w:val="none" w:sz="0" w:space="0" w:color="auto"/>
            <w:bottom w:val="none" w:sz="0" w:space="0" w:color="auto"/>
            <w:right w:val="none" w:sz="0" w:space="0" w:color="auto"/>
          </w:divBdr>
          <w:divsChild>
            <w:div w:id="1234703107">
              <w:marLeft w:val="560"/>
              <w:marRight w:val="0"/>
              <w:marTop w:val="0"/>
              <w:marBottom w:val="0"/>
              <w:divBdr>
                <w:top w:val="none" w:sz="0" w:space="0" w:color="auto"/>
                <w:left w:val="none" w:sz="0" w:space="0" w:color="auto"/>
                <w:bottom w:val="none" w:sz="0" w:space="0" w:color="auto"/>
                <w:right w:val="none" w:sz="0" w:space="0" w:color="auto"/>
              </w:divBdr>
            </w:div>
          </w:divsChild>
        </w:div>
        <w:div w:id="1855486668">
          <w:marLeft w:val="0"/>
          <w:marRight w:val="0"/>
          <w:marTop w:val="0"/>
          <w:marBottom w:val="48"/>
          <w:divBdr>
            <w:top w:val="none" w:sz="0" w:space="0" w:color="auto"/>
            <w:left w:val="none" w:sz="0" w:space="0" w:color="auto"/>
            <w:bottom w:val="none" w:sz="0" w:space="0" w:color="auto"/>
            <w:right w:val="none" w:sz="0" w:space="0" w:color="auto"/>
          </w:divBdr>
          <w:divsChild>
            <w:div w:id="381832293">
              <w:marLeft w:val="560"/>
              <w:marRight w:val="0"/>
              <w:marTop w:val="0"/>
              <w:marBottom w:val="0"/>
              <w:divBdr>
                <w:top w:val="none" w:sz="0" w:space="0" w:color="auto"/>
                <w:left w:val="none" w:sz="0" w:space="0" w:color="auto"/>
                <w:bottom w:val="none" w:sz="0" w:space="0" w:color="auto"/>
                <w:right w:val="none" w:sz="0" w:space="0" w:color="auto"/>
              </w:divBdr>
            </w:div>
          </w:divsChild>
        </w:div>
        <w:div w:id="350844484">
          <w:marLeft w:val="0"/>
          <w:marRight w:val="0"/>
          <w:marTop w:val="0"/>
          <w:marBottom w:val="48"/>
          <w:divBdr>
            <w:top w:val="none" w:sz="0" w:space="0" w:color="auto"/>
            <w:left w:val="none" w:sz="0" w:space="0" w:color="auto"/>
            <w:bottom w:val="none" w:sz="0" w:space="0" w:color="auto"/>
            <w:right w:val="none" w:sz="0" w:space="0" w:color="auto"/>
          </w:divBdr>
          <w:divsChild>
            <w:div w:id="31855307">
              <w:marLeft w:val="560"/>
              <w:marRight w:val="0"/>
              <w:marTop w:val="0"/>
              <w:marBottom w:val="0"/>
              <w:divBdr>
                <w:top w:val="none" w:sz="0" w:space="0" w:color="auto"/>
                <w:left w:val="none" w:sz="0" w:space="0" w:color="auto"/>
                <w:bottom w:val="none" w:sz="0" w:space="0" w:color="auto"/>
                <w:right w:val="none" w:sz="0" w:space="0" w:color="auto"/>
              </w:divBdr>
            </w:div>
          </w:divsChild>
        </w:div>
        <w:div w:id="1264000784">
          <w:marLeft w:val="0"/>
          <w:marRight w:val="0"/>
          <w:marTop w:val="0"/>
          <w:marBottom w:val="0"/>
          <w:divBdr>
            <w:top w:val="none" w:sz="0" w:space="0" w:color="auto"/>
            <w:left w:val="none" w:sz="0" w:space="0" w:color="auto"/>
            <w:bottom w:val="none" w:sz="0" w:space="0" w:color="auto"/>
            <w:right w:val="none" w:sz="0" w:space="0" w:color="auto"/>
          </w:divBdr>
          <w:divsChild>
            <w:div w:id="925310786">
              <w:marLeft w:val="560"/>
              <w:marRight w:val="0"/>
              <w:marTop w:val="0"/>
              <w:marBottom w:val="0"/>
              <w:divBdr>
                <w:top w:val="none" w:sz="0" w:space="0" w:color="auto"/>
                <w:left w:val="none" w:sz="0" w:space="0" w:color="auto"/>
                <w:bottom w:val="none" w:sz="0" w:space="0" w:color="auto"/>
                <w:right w:val="none" w:sz="0" w:space="0" w:color="auto"/>
              </w:divBdr>
            </w:div>
          </w:divsChild>
        </w:div>
        <w:div w:id="194972758">
          <w:marLeft w:val="0"/>
          <w:marRight w:val="0"/>
          <w:marTop w:val="0"/>
          <w:marBottom w:val="0"/>
          <w:divBdr>
            <w:top w:val="none" w:sz="0" w:space="0" w:color="auto"/>
            <w:left w:val="none" w:sz="0" w:space="0" w:color="auto"/>
            <w:bottom w:val="none" w:sz="0" w:space="0" w:color="auto"/>
            <w:right w:val="none" w:sz="0" w:space="0" w:color="auto"/>
          </w:divBdr>
          <w:divsChild>
            <w:div w:id="683096972">
              <w:marLeft w:val="560"/>
              <w:marRight w:val="0"/>
              <w:marTop w:val="0"/>
              <w:marBottom w:val="0"/>
              <w:divBdr>
                <w:top w:val="none" w:sz="0" w:space="0" w:color="auto"/>
                <w:left w:val="none" w:sz="0" w:space="0" w:color="auto"/>
                <w:bottom w:val="none" w:sz="0" w:space="0" w:color="auto"/>
                <w:right w:val="none" w:sz="0" w:space="0" w:color="auto"/>
              </w:divBdr>
            </w:div>
          </w:divsChild>
        </w:div>
        <w:div w:id="1986623005">
          <w:marLeft w:val="0"/>
          <w:marRight w:val="0"/>
          <w:marTop w:val="0"/>
          <w:marBottom w:val="0"/>
          <w:divBdr>
            <w:top w:val="none" w:sz="0" w:space="0" w:color="auto"/>
            <w:left w:val="none" w:sz="0" w:space="0" w:color="auto"/>
            <w:bottom w:val="none" w:sz="0" w:space="0" w:color="auto"/>
            <w:right w:val="none" w:sz="0" w:space="0" w:color="auto"/>
          </w:divBdr>
          <w:divsChild>
            <w:div w:id="1260408974">
              <w:marLeft w:val="560"/>
              <w:marRight w:val="0"/>
              <w:marTop w:val="0"/>
              <w:marBottom w:val="0"/>
              <w:divBdr>
                <w:top w:val="none" w:sz="0" w:space="0" w:color="auto"/>
                <w:left w:val="none" w:sz="0" w:space="0" w:color="auto"/>
                <w:bottom w:val="none" w:sz="0" w:space="0" w:color="auto"/>
                <w:right w:val="none" w:sz="0" w:space="0" w:color="auto"/>
              </w:divBdr>
            </w:div>
          </w:divsChild>
        </w:div>
        <w:div w:id="1724017336">
          <w:marLeft w:val="0"/>
          <w:marRight w:val="0"/>
          <w:marTop w:val="0"/>
          <w:marBottom w:val="0"/>
          <w:divBdr>
            <w:top w:val="none" w:sz="0" w:space="0" w:color="auto"/>
            <w:left w:val="none" w:sz="0" w:space="0" w:color="auto"/>
            <w:bottom w:val="none" w:sz="0" w:space="0" w:color="auto"/>
            <w:right w:val="none" w:sz="0" w:space="0" w:color="auto"/>
          </w:divBdr>
          <w:divsChild>
            <w:div w:id="1694115355">
              <w:marLeft w:val="560"/>
              <w:marRight w:val="0"/>
              <w:marTop w:val="0"/>
              <w:marBottom w:val="0"/>
              <w:divBdr>
                <w:top w:val="none" w:sz="0" w:space="0" w:color="auto"/>
                <w:left w:val="none" w:sz="0" w:space="0" w:color="auto"/>
                <w:bottom w:val="none" w:sz="0" w:space="0" w:color="auto"/>
                <w:right w:val="none" w:sz="0" w:space="0" w:color="auto"/>
              </w:divBdr>
            </w:div>
          </w:divsChild>
        </w:div>
        <w:div w:id="1817452382">
          <w:marLeft w:val="0"/>
          <w:marRight w:val="0"/>
          <w:marTop w:val="0"/>
          <w:marBottom w:val="0"/>
          <w:divBdr>
            <w:top w:val="none" w:sz="0" w:space="0" w:color="auto"/>
            <w:left w:val="none" w:sz="0" w:space="0" w:color="auto"/>
            <w:bottom w:val="none" w:sz="0" w:space="0" w:color="auto"/>
            <w:right w:val="none" w:sz="0" w:space="0" w:color="auto"/>
          </w:divBdr>
          <w:divsChild>
            <w:div w:id="937248692">
              <w:marLeft w:val="560"/>
              <w:marRight w:val="0"/>
              <w:marTop w:val="0"/>
              <w:marBottom w:val="0"/>
              <w:divBdr>
                <w:top w:val="none" w:sz="0" w:space="0" w:color="auto"/>
                <w:left w:val="none" w:sz="0" w:space="0" w:color="auto"/>
                <w:bottom w:val="none" w:sz="0" w:space="0" w:color="auto"/>
                <w:right w:val="none" w:sz="0" w:space="0" w:color="auto"/>
              </w:divBdr>
            </w:div>
          </w:divsChild>
        </w:div>
        <w:div w:id="2078280633">
          <w:marLeft w:val="0"/>
          <w:marRight w:val="0"/>
          <w:marTop w:val="0"/>
          <w:marBottom w:val="0"/>
          <w:divBdr>
            <w:top w:val="none" w:sz="0" w:space="0" w:color="auto"/>
            <w:left w:val="none" w:sz="0" w:space="0" w:color="auto"/>
            <w:bottom w:val="none" w:sz="0" w:space="0" w:color="auto"/>
            <w:right w:val="none" w:sz="0" w:space="0" w:color="auto"/>
          </w:divBdr>
          <w:divsChild>
            <w:div w:id="1749183215">
              <w:marLeft w:val="560"/>
              <w:marRight w:val="0"/>
              <w:marTop w:val="0"/>
              <w:marBottom w:val="0"/>
              <w:divBdr>
                <w:top w:val="none" w:sz="0" w:space="0" w:color="auto"/>
                <w:left w:val="none" w:sz="0" w:space="0" w:color="auto"/>
                <w:bottom w:val="none" w:sz="0" w:space="0" w:color="auto"/>
                <w:right w:val="none" w:sz="0" w:space="0" w:color="auto"/>
              </w:divBdr>
            </w:div>
          </w:divsChild>
        </w:div>
        <w:div w:id="896820345">
          <w:marLeft w:val="560"/>
          <w:marRight w:val="0"/>
          <w:marTop w:val="0"/>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13237</Words>
  <Characters>75453</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88513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nikitina.z</dc:creator>
  <cp:keywords/>
  <dc:description/>
  <cp:lastModifiedBy>Alex</cp:lastModifiedBy>
  <cp:revision>2</cp:revision>
  <dcterms:created xsi:type="dcterms:W3CDTF">2016-10-19T09:44:00Z</dcterms:created>
  <dcterms:modified xsi:type="dcterms:W3CDTF">2016-10-19T09:44:00Z</dcterms:modified>
</cp:coreProperties>
</file>